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imes New Roman" w:hAnsi="Times New Roman"/>
          <w:noProof/>
          <w:color w:val="auto"/>
          <w:szCs w:val="20"/>
          <w:lang w:val="de-AT" w:eastAsia="de-AT"/>
        </w:rPr>
        <w:id w:val="1949882721"/>
        <w:docPartObj>
          <w:docPartGallery w:val="Cover Pages"/>
          <w:docPartUnique/>
        </w:docPartObj>
      </w:sdtPr>
      <w:sdtEndPr>
        <w:rPr>
          <w:noProof w:val="0"/>
          <w:lang w:val="en-GB" w:eastAsia="en-US"/>
        </w:rPr>
      </w:sdtEndPr>
      <w:sdtContent>
        <w:p w14:paraId="78713060" w14:textId="2549F54D" w:rsidR="000E4C08" w:rsidRDefault="001B0B3E" w:rsidP="001E0D37">
          <w:pPr>
            <w:pStyle w:val="CE-StandardText"/>
          </w:pPr>
          <w:r>
            <w:rPr>
              <w:noProof/>
              <w:lang w:val="hr-HR" w:eastAsia="hr-HR"/>
            </w:rPr>
            <w:drawing>
              <wp:anchor distT="0" distB="0" distL="114300" distR="114300" simplePos="0" relativeHeight="251669503" behindDoc="0" locked="0" layoutInCell="1" allowOverlap="1" wp14:anchorId="74B8BF8F" wp14:editId="49BE9C35">
                <wp:simplePos x="0" y="0"/>
                <wp:positionH relativeFrom="column">
                  <wp:posOffset>2745110</wp:posOffset>
                </wp:positionH>
                <wp:positionV relativeFrom="paragraph">
                  <wp:posOffset>-933148</wp:posOffset>
                </wp:positionV>
                <wp:extent cx="3590568" cy="1522752"/>
                <wp:effectExtent l="0" t="0" r="0" b="1270"/>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0568" cy="1522752"/>
                        </a:xfrm>
                        <a:prstGeom prst="rect">
                          <a:avLst/>
                        </a:prstGeom>
                      </pic:spPr>
                    </pic:pic>
                  </a:graphicData>
                </a:graphic>
                <wp14:sizeRelH relativeFrom="page">
                  <wp14:pctWidth>0</wp14:pctWidth>
                </wp14:sizeRelH>
                <wp14:sizeRelV relativeFrom="page">
                  <wp14:pctHeight>0</wp14:pctHeight>
                </wp14:sizeRelV>
              </wp:anchor>
            </w:drawing>
          </w:r>
          <w:r w:rsidR="00F96738">
            <w:rPr>
              <w:noProof/>
              <w:lang w:val="hr-HR" w:eastAsia="hr-HR"/>
            </w:rPr>
            <w:drawing>
              <wp:anchor distT="0" distB="0" distL="114300" distR="114300" simplePos="0" relativeHeight="251676672" behindDoc="1" locked="0" layoutInCell="1" allowOverlap="1" wp14:anchorId="151C43AD" wp14:editId="7184F3DA">
                <wp:simplePos x="0" y="0"/>
                <wp:positionH relativeFrom="column">
                  <wp:posOffset>-840740</wp:posOffset>
                </wp:positionH>
                <wp:positionV relativeFrom="paragraph">
                  <wp:posOffset>7192807</wp:posOffset>
                </wp:positionV>
                <wp:extent cx="8365966" cy="3600169"/>
                <wp:effectExtent l="0" t="0" r="381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65966" cy="3600169"/>
                        </a:xfrm>
                        <a:prstGeom prst="rect">
                          <a:avLst/>
                        </a:prstGeom>
                      </pic:spPr>
                    </pic:pic>
                  </a:graphicData>
                </a:graphic>
                <wp14:sizeRelH relativeFrom="page">
                  <wp14:pctWidth>0</wp14:pctWidth>
                </wp14:sizeRelH>
                <wp14:sizeRelV relativeFrom="page">
                  <wp14:pctHeight>0</wp14:pctHeight>
                </wp14:sizeRelV>
              </wp:anchor>
            </w:drawing>
          </w:r>
          <w:r w:rsidR="00EE6117">
            <w:rPr>
              <w:noProof/>
              <w:lang w:val="hr-HR" w:eastAsia="hr-HR"/>
            </w:rPr>
            <mc:AlternateContent>
              <mc:Choice Requires="wps">
                <w:drawing>
                  <wp:anchor distT="0" distB="0" distL="114300" distR="114300" simplePos="0" relativeHeight="251671552" behindDoc="0" locked="0" layoutInCell="1" allowOverlap="1" wp14:anchorId="2C8F715B" wp14:editId="613DE845">
                    <wp:simplePos x="0" y="0"/>
                    <wp:positionH relativeFrom="column">
                      <wp:posOffset>-93980</wp:posOffset>
                    </wp:positionH>
                    <wp:positionV relativeFrom="paragraph">
                      <wp:posOffset>8962</wp:posOffset>
                    </wp:positionV>
                    <wp:extent cx="5886450" cy="7400925"/>
                    <wp:effectExtent l="0" t="0" r="0" b="0"/>
                    <wp:wrapNone/>
                    <wp:docPr id="1" name="Textfeld 1"/>
                    <wp:cNvGraphicFramePr/>
                    <a:graphic xmlns:a="http://schemas.openxmlformats.org/drawingml/2006/main">
                      <a:graphicData uri="http://schemas.microsoft.com/office/word/2010/wordprocessingShape">
                        <wps:wsp>
                          <wps:cNvSpPr txBox="1"/>
                          <wps:spPr bwMode="auto">
                            <a:xfrm>
                              <a:off x="0" y="0"/>
                              <a:ext cx="5886450" cy="7400925"/>
                            </a:xfrm>
                            <a:prstGeom prst="rect">
                              <a:avLst/>
                            </a:prstGeom>
                            <a:noFill/>
                            <a:ln w="6350">
                              <a:noFill/>
                            </a:ln>
                          </wps:spPr>
                          <wps:txbx>
                            <w:txbxContent>
                              <w:p w14:paraId="52695414" w14:textId="101B9C13" w:rsidR="00FC1A26" w:rsidRPr="006F5C70" w:rsidRDefault="00FC1A26" w:rsidP="00EF0451">
                                <w:pPr>
                                  <w:spacing w:before="0" w:line="640" w:lineRule="exact"/>
                                  <w:ind w:left="0" w:right="0"/>
                                  <w:jc w:val="left"/>
                                  <w:rPr>
                                    <w:rFonts w:asciiTheme="majorHAnsi" w:hAnsiTheme="majorHAnsi"/>
                                    <w:color w:val="708792" w:themeColor="background2"/>
                                    <w:sz w:val="60"/>
                                    <w:szCs w:val="60"/>
                                  </w:rPr>
                                </w:pPr>
                                <w:r w:rsidRPr="006F5C70">
                                  <w:rPr>
                                    <w:rFonts w:asciiTheme="majorHAnsi" w:hAnsiTheme="majorHAnsi"/>
                                    <w:color w:val="708792" w:themeColor="background2"/>
                                    <w:sz w:val="60"/>
                                    <w:szCs w:val="60"/>
                                  </w:rPr>
                                  <w:t>Work Package (WP</w:t>
                                </w:r>
                                <w:r w:rsidR="00257193">
                                  <w:rPr>
                                    <w:rFonts w:asciiTheme="majorHAnsi" w:hAnsiTheme="majorHAnsi"/>
                                    <w:color w:val="708792" w:themeColor="background2"/>
                                    <w:sz w:val="60"/>
                                    <w:szCs w:val="60"/>
                                  </w:rPr>
                                  <w:t>1</w:t>
                                </w:r>
                                <w:r w:rsidRPr="006F5C70">
                                  <w:rPr>
                                    <w:rFonts w:asciiTheme="majorHAnsi" w:hAnsiTheme="majorHAnsi"/>
                                    <w:color w:val="708792" w:themeColor="background2"/>
                                    <w:sz w:val="60"/>
                                    <w:szCs w:val="60"/>
                                  </w:rPr>
                                  <w:t>):</w:t>
                                </w:r>
                              </w:p>
                              <w:p w14:paraId="7BF02AE4" w14:textId="6AC57EE7" w:rsidR="00FC1A26" w:rsidRPr="006F5C70" w:rsidRDefault="00FC1A26" w:rsidP="00EF0451">
                                <w:pPr>
                                  <w:spacing w:before="0" w:line="640" w:lineRule="exact"/>
                                  <w:ind w:left="0" w:right="0"/>
                                  <w:jc w:val="left"/>
                                  <w:rPr>
                                    <w:rFonts w:asciiTheme="majorHAnsi" w:hAnsiTheme="majorHAnsi"/>
                                    <w:color w:val="708792" w:themeColor="background2"/>
                                    <w:sz w:val="60"/>
                                    <w:szCs w:val="60"/>
                                  </w:rPr>
                                </w:pPr>
                                <w:r w:rsidRPr="006F5C70">
                                  <w:rPr>
                                    <w:rFonts w:asciiTheme="majorHAnsi" w:hAnsiTheme="majorHAnsi"/>
                                    <w:color w:val="708792" w:themeColor="background2"/>
                                    <w:sz w:val="60"/>
                                    <w:szCs w:val="60"/>
                                  </w:rPr>
                                  <w:t>H</w:t>
                                </w:r>
                                <w:r w:rsidR="00257193">
                                  <w:rPr>
                                    <w:rFonts w:asciiTheme="majorHAnsi" w:hAnsiTheme="majorHAnsi"/>
                                    <w:color w:val="708792" w:themeColor="background2"/>
                                    <w:sz w:val="60"/>
                                    <w:szCs w:val="60"/>
                                  </w:rPr>
                                  <w:t>2-</w:t>
                                </w:r>
                                <w:r w:rsidRPr="006F5C70">
                                  <w:rPr>
                                    <w:rFonts w:asciiTheme="majorHAnsi" w:hAnsiTheme="majorHAnsi"/>
                                    <w:color w:val="708792" w:themeColor="background2"/>
                                    <w:sz w:val="60"/>
                                    <w:szCs w:val="60"/>
                                  </w:rPr>
                                  <w:t xml:space="preserve">ready </w:t>
                                </w:r>
                                <w:r w:rsidR="00257193">
                                  <w:rPr>
                                    <w:rFonts w:asciiTheme="majorHAnsi" w:hAnsiTheme="majorHAnsi"/>
                                    <w:color w:val="708792" w:themeColor="background2"/>
                                    <w:sz w:val="60"/>
                                    <w:szCs w:val="60"/>
                                  </w:rPr>
                                  <w:t>for European and regional spatial planning and development</w:t>
                                </w:r>
                              </w:p>
                              <w:p w14:paraId="1983DBD4" w14:textId="77777777" w:rsidR="00FC1A26" w:rsidRPr="006F5C70" w:rsidRDefault="00FC1A26" w:rsidP="00156DCA">
                                <w:pPr>
                                  <w:spacing w:before="0" w:line="180" w:lineRule="exact"/>
                                  <w:ind w:left="0" w:right="0"/>
                                  <w:jc w:val="left"/>
                                  <w:rPr>
                                    <w:rFonts w:asciiTheme="majorHAnsi" w:hAnsiTheme="majorHAnsi"/>
                                    <w:color w:val="708792" w:themeColor="background2"/>
                                    <w:sz w:val="60"/>
                                    <w:szCs w:val="60"/>
                                  </w:rPr>
                                </w:pPr>
                              </w:p>
                              <w:p w14:paraId="573FA1CC" w14:textId="77777777" w:rsidR="00FC1A26" w:rsidRPr="006F5C70" w:rsidRDefault="00FC1A26" w:rsidP="00156DCA">
                                <w:pPr>
                                  <w:spacing w:before="0" w:line="260" w:lineRule="exact"/>
                                  <w:ind w:left="0" w:right="0"/>
                                  <w:jc w:val="left"/>
                                  <w:rPr>
                                    <w:rFonts w:asciiTheme="majorHAnsi" w:hAnsiTheme="majorHAnsi"/>
                                    <w:color w:val="708792" w:themeColor="background2"/>
                                    <w:sz w:val="60"/>
                                    <w:szCs w:val="60"/>
                                  </w:rPr>
                                </w:pPr>
                              </w:p>
                              <w:p w14:paraId="12D3BD74" w14:textId="1767F34F" w:rsidR="00FC1A26" w:rsidRPr="006F5C70" w:rsidRDefault="00FC1A26" w:rsidP="001B18F7">
                                <w:pPr>
                                  <w:spacing w:before="0" w:line="240" w:lineRule="auto"/>
                                  <w:ind w:left="0" w:right="0"/>
                                  <w:jc w:val="left"/>
                                  <w:rPr>
                                    <w:rFonts w:asciiTheme="majorHAnsi" w:hAnsiTheme="majorHAnsi"/>
                                    <w:color w:val="708792" w:themeColor="background2"/>
                                    <w:sz w:val="60"/>
                                    <w:szCs w:val="60"/>
                                  </w:rPr>
                                </w:pPr>
                                <w:r w:rsidRPr="006F5C70">
                                  <w:rPr>
                                    <w:rFonts w:asciiTheme="majorHAnsi" w:hAnsiTheme="majorHAnsi"/>
                                    <w:color w:val="708792" w:themeColor="background2"/>
                                    <w:sz w:val="60"/>
                                    <w:szCs w:val="60"/>
                                  </w:rPr>
                                  <w:t xml:space="preserve">H2CE – Deliverable </w:t>
                                </w:r>
                                <w:r w:rsidR="00257193">
                                  <w:rPr>
                                    <w:rFonts w:asciiTheme="majorHAnsi" w:hAnsiTheme="majorHAnsi"/>
                                    <w:color w:val="708792" w:themeColor="background2"/>
                                    <w:sz w:val="60"/>
                                    <w:szCs w:val="60"/>
                                  </w:rPr>
                                  <w:t>1</w:t>
                                </w:r>
                                <w:r w:rsidRPr="006F5C70">
                                  <w:rPr>
                                    <w:rFonts w:asciiTheme="majorHAnsi" w:hAnsiTheme="majorHAnsi"/>
                                    <w:color w:val="708792" w:themeColor="background2"/>
                                    <w:sz w:val="60"/>
                                    <w:szCs w:val="60"/>
                                  </w:rPr>
                                  <w:t>.2.</w:t>
                                </w:r>
                                <w:r w:rsidR="00257193">
                                  <w:rPr>
                                    <w:rFonts w:asciiTheme="majorHAnsi" w:hAnsiTheme="majorHAnsi"/>
                                    <w:color w:val="708792" w:themeColor="background2"/>
                                    <w:sz w:val="60"/>
                                    <w:szCs w:val="60"/>
                                  </w:rPr>
                                  <w:t>2</w:t>
                                </w:r>
                                <w:r w:rsidRPr="006F5C70">
                                  <w:rPr>
                                    <w:rFonts w:asciiTheme="majorHAnsi" w:hAnsiTheme="majorHAnsi"/>
                                    <w:color w:val="708792" w:themeColor="background2"/>
                                    <w:sz w:val="60"/>
                                    <w:szCs w:val="60"/>
                                  </w:rPr>
                                  <w:t xml:space="preserve"> </w:t>
                                </w:r>
                                <w:r w:rsidR="003371AA">
                                  <w:rPr>
                                    <w:rFonts w:asciiTheme="majorHAnsi" w:hAnsiTheme="majorHAnsi"/>
                                    <w:color w:val="708792" w:themeColor="background2"/>
                                    <w:sz w:val="60"/>
                                    <w:szCs w:val="60"/>
                                  </w:rPr>
                                  <w:t xml:space="preserve">- </w:t>
                                </w:r>
                                <w:r w:rsidR="003371AA" w:rsidRPr="006F5C70">
                                  <w:rPr>
                                    <w:rFonts w:asciiTheme="majorHAnsi" w:hAnsiTheme="majorHAnsi"/>
                                    <w:color w:val="708792" w:themeColor="background2"/>
                                    <w:sz w:val="60"/>
                                    <w:szCs w:val="60"/>
                                  </w:rPr>
                                  <w:t>Interregional</w:t>
                                </w:r>
                                <w:r w:rsidR="003371AA">
                                  <w:rPr>
                                    <w:rFonts w:asciiTheme="majorHAnsi" w:hAnsiTheme="majorHAnsi"/>
                                    <w:color w:val="708792" w:themeColor="background2"/>
                                    <w:sz w:val="60"/>
                                    <w:szCs w:val="60"/>
                                  </w:rPr>
                                  <w:t xml:space="preserve"> strategy for H2-ready regions</w:t>
                                </w:r>
                              </w:p>
                              <w:p w14:paraId="0BB63005" w14:textId="77777777" w:rsidR="00FC1A26" w:rsidRPr="006F5C70" w:rsidRDefault="00FC1A26" w:rsidP="00276600">
                                <w:pPr>
                                  <w:spacing w:before="0" w:line="640" w:lineRule="exact"/>
                                  <w:ind w:left="0" w:right="0"/>
                                  <w:jc w:val="left"/>
                                  <w:rPr>
                                    <w:rFonts w:asciiTheme="majorHAnsi" w:hAnsiTheme="majorHAnsi"/>
                                    <w:color w:val="708792" w:themeColor="background2"/>
                                    <w:sz w:val="60"/>
                                    <w:szCs w:val="60"/>
                                  </w:rPr>
                                </w:pPr>
                              </w:p>
                              <w:p w14:paraId="50B9E58C" w14:textId="77777777" w:rsidR="00FC1A26" w:rsidRPr="006F5C70" w:rsidRDefault="00FC1A26" w:rsidP="00485F16">
                                <w:pPr>
                                  <w:pStyle w:val="CE-StandardText"/>
                                  <w:rPr>
                                    <w:rStyle w:val="Naglaeno"/>
                                    <w:b w:val="0"/>
                                    <w:color w:val="708792" w:themeColor="background2"/>
                                    <w:sz w:val="28"/>
                                    <w:szCs w:val="24"/>
                                  </w:rPr>
                                </w:pPr>
                                <w:r w:rsidRPr="006F5C70">
                                  <w:rPr>
                                    <w:rStyle w:val="Naglaeno"/>
                                    <w:b w:val="0"/>
                                    <w:color w:val="708792" w:themeColor="background2"/>
                                    <w:sz w:val="28"/>
                                    <w:szCs w:val="24"/>
                                  </w:rPr>
                                  <w:t>submitted by City of Zagreb (PP10 – ZG)</w:t>
                                </w:r>
                              </w:p>
                              <w:p w14:paraId="0737336B" w14:textId="00F50F47" w:rsidR="00FC1A26" w:rsidRPr="006F5C70" w:rsidRDefault="003371AA" w:rsidP="00485F16">
                                <w:pPr>
                                  <w:pStyle w:val="CE-StandardText"/>
                                  <w:rPr>
                                    <w:rStyle w:val="Naglaeno"/>
                                    <w:b w:val="0"/>
                                    <w:color w:val="708792" w:themeColor="background2"/>
                                    <w:sz w:val="28"/>
                                    <w:szCs w:val="24"/>
                                  </w:rPr>
                                </w:pPr>
                                <w:r>
                                  <w:rPr>
                                    <w:rStyle w:val="Naglaeno"/>
                                    <w:b w:val="0"/>
                                    <w:color w:val="708792" w:themeColor="background2"/>
                                    <w:sz w:val="28"/>
                                    <w:szCs w:val="24"/>
                                  </w:rPr>
                                  <w:t>North-West Croatia Regional Energy and Climate Agency (PP12-REGEA)</w:t>
                                </w:r>
                              </w:p>
                              <w:p w14:paraId="7B996818" w14:textId="6CEDEDBC" w:rsidR="00FC1A26" w:rsidRPr="006F5C70" w:rsidRDefault="00FC1A26" w:rsidP="00485F16">
                                <w:pPr>
                                  <w:pStyle w:val="CE-StandardText"/>
                                  <w:rPr>
                                    <w:rStyle w:val="Naglaeno"/>
                                    <w:b w:val="0"/>
                                    <w:color w:val="708792" w:themeColor="background2"/>
                                    <w:sz w:val="28"/>
                                    <w:szCs w:val="24"/>
                                  </w:rPr>
                                </w:pPr>
                              </w:p>
                              <w:p w14:paraId="38CF4D9B" w14:textId="15669601" w:rsidR="00FC1A26" w:rsidRPr="006F5C70" w:rsidRDefault="00FC1A26" w:rsidP="00485F16">
                                <w:pPr>
                                  <w:pStyle w:val="CE-StandardText"/>
                                  <w:rPr>
                                    <w:rStyle w:val="Naglaeno"/>
                                    <w:b w:val="0"/>
                                    <w:sz w:val="22"/>
                                    <w:szCs w:val="20"/>
                                  </w:rPr>
                                </w:pPr>
                                <w:r w:rsidRPr="006F5C70">
                                  <w:rPr>
                                    <w:rStyle w:val="Naglaeno"/>
                                    <w:b w:val="0"/>
                                    <w:color w:val="708792" w:themeColor="background2"/>
                                    <w:sz w:val="28"/>
                                    <w:szCs w:val="24"/>
                                  </w:rPr>
                                  <w:t xml:space="preserve">  </w:t>
                                </w:r>
                              </w:p>
                              <w:p w14:paraId="0B7B142F" w14:textId="03E0F9AC" w:rsidR="00FC1A26" w:rsidRPr="006F5C70" w:rsidRDefault="00FC1A26" w:rsidP="0033086B">
                                <w:pPr>
                                  <w:spacing w:before="0" w:line="640" w:lineRule="exact"/>
                                  <w:ind w:left="0" w:right="0"/>
                                  <w:jc w:val="left"/>
                                  <w:rPr>
                                    <w:rFonts w:asciiTheme="majorHAnsi" w:hAnsiTheme="majorHAnsi"/>
                                    <w:color w:val="708792" w:themeColor="background2"/>
                                    <w:sz w:val="28"/>
                                    <w:szCs w:val="28"/>
                                  </w:rPr>
                                </w:pPr>
                              </w:p>
                              <w:p w14:paraId="43B71D6C" w14:textId="18327FFB" w:rsidR="00FC1A26" w:rsidRPr="006F5C70" w:rsidRDefault="00A41D14" w:rsidP="00276600">
                                <w:pPr>
                                  <w:spacing w:before="0" w:line="640" w:lineRule="exact"/>
                                  <w:ind w:left="0" w:right="0"/>
                                  <w:jc w:val="left"/>
                                  <w:rPr>
                                    <w:rFonts w:asciiTheme="majorHAnsi" w:hAnsiTheme="majorHAnsi"/>
                                    <w:color w:val="708792" w:themeColor="background2"/>
                                    <w:sz w:val="28"/>
                                    <w:szCs w:val="28"/>
                                  </w:rPr>
                                </w:pPr>
                                <w:r>
                                  <w:rPr>
                                    <w:rFonts w:asciiTheme="majorHAnsi" w:hAnsiTheme="majorHAnsi"/>
                                    <w:color w:val="708792" w:themeColor="background2"/>
                                    <w:sz w:val="28"/>
                                    <w:szCs w:val="28"/>
                                  </w:rPr>
                                  <w:t>January</w:t>
                                </w:r>
                                <w:r w:rsidR="00FC1A26" w:rsidRPr="006F5C70">
                                  <w:rPr>
                                    <w:rFonts w:asciiTheme="majorHAnsi" w:hAnsiTheme="majorHAnsi"/>
                                    <w:color w:val="708792" w:themeColor="background2"/>
                                    <w:sz w:val="28"/>
                                    <w:szCs w:val="28"/>
                                  </w:rPr>
                                  <w:t xml:space="preserve"> 202</w:t>
                                </w:r>
                                <w:r>
                                  <w:rPr>
                                    <w:rFonts w:asciiTheme="majorHAnsi" w:hAnsiTheme="majorHAnsi"/>
                                    <w:color w:val="708792" w:themeColor="background2"/>
                                    <w:sz w:val="28"/>
                                    <w:szCs w:val="28"/>
                                  </w:rPr>
                                  <w:t>6</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C8F715B" id="_x0000_t202" coordsize="21600,21600" o:spt="202" path="m,l,21600r21600,l21600,xe">
                    <v:stroke joinstyle="miter"/>
                    <v:path gradientshapeok="t" o:connecttype="rect"/>
                  </v:shapetype>
                  <v:shape id="Textfeld 1" o:spid="_x0000_s1026" type="#_x0000_t202" style="position:absolute;left:0;text-align:left;margin-left:-7.4pt;margin-top:.7pt;width:463.5pt;height:58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" filled="f" stroked="f" strokeweight=".5pt">
                    <v:textbox>
                      <w:txbxContent>
                        <w:p w14:paraId="52695414" w14:textId="101B9C13" w:rsidR="00FC1A26" w:rsidRPr="006F5C70" w:rsidRDefault="00FC1A26" w:rsidP="00EF0451">
                          <w:pPr>
                            <w:spacing w:before="0" w:line="640" w:lineRule="exact"/>
                            <w:ind w:left="0" w:right="0"/>
                            <w:jc w:val="left"/>
                            <w:rPr>
                              <w:rFonts w:asciiTheme="majorHAnsi" w:hAnsiTheme="majorHAnsi"/>
                              <w:color w:val="708792" w:themeColor="background2"/>
                              <w:sz w:val="60"/>
                              <w:szCs w:val="60"/>
                            </w:rPr>
                          </w:pPr>
                          <w:r w:rsidRPr="006F5C70">
                            <w:rPr>
                              <w:rFonts w:asciiTheme="majorHAnsi" w:hAnsiTheme="majorHAnsi"/>
                              <w:color w:val="708792" w:themeColor="background2"/>
                              <w:sz w:val="60"/>
                              <w:szCs w:val="60"/>
                            </w:rPr>
                            <w:t>Work Package (WP</w:t>
                          </w:r>
                          <w:r w:rsidR="00257193">
                            <w:rPr>
                              <w:rFonts w:asciiTheme="majorHAnsi" w:hAnsiTheme="majorHAnsi"/>
                              <w:color w:val="708792" w:themeColor="background2"/>
                              <w:sz w:val="60"/>
                              <w:szCs w:val="60"/>
                            </w:rPr>
                            <w:t>1</w:t>
                          </w:r>
                          <w:r w:rsidRPr="006F5C70">
                            <w:rPr>
                              <w:rFonts w:asciiTheme="majorHAnsi" w:hAnsiTheme="majorHAnsi"/>
                              <w:color w:val="708792" w:themeColor="background2"/>
                              <w:sz w:val="60"/>
                              <w:szCs w:val="60"/>
                            </w:rPr>
                            <w:t>):</w:t>
                          </w:r>
                        </w:p>
                        <w:p w14:paraId="7BF02AE4" w14:textId="6AC57EE7" w:rsidR="00FC1A26" w:rsidRPr="006F5C70" w:rsidRDefault="00FC1A26" w:rsidP="00EF0451">
                          <w:pPr>
                            <w:spacing w:before="0" w:line="640" w:lineRule="exact"/>
                            <w:ind w:left="0" w:right="0"/>
                            <w:jc w:val="left"/>
                            <w:rPr>
                              <w:rFonts w:asciiTheme="majorHAnsi" w:hAnsiTheme="majorHAnsi"/>
                              <w:color w:val="708792" w:themeColor="background2"/>
                              <w:sz w:val="60"/>
                              <w:szCs w:val="60"/>
                            </w:rPr>
                          </w:pPr>
                          <w:r w:rsidRPr="006F5C70">
                            <w:rPr>
                              <w:rFonts w:asciiTheme="majorHAnsi" w:hAnsiTheme="majorHAnsi"/>
                              <w:color w:val="708792" w:themeColor="background2"/>
                              <w:sz w:val="60"/>
                              <w:szCs w:val="60"/>
                            </w:rPr>
                            <w:t>H</w:t>
                          </w:r>
                          <w:r w:rsidR="00257193">
                            <w:rPr>
                              <w:rFonts w:asciiTheme="majorHAnsi" w:hAnsiTheme="majorHAnsi"/>
                              <w:color w:val="708792" w:themeColor="background2"/>
                              <w:sz w:val="60"/>
                              <w:szCs w:val="60"/>
                            </w:rPr>
                            <w:t>2-</w:t>
                          </w:r>
                          <w:r w:rsidRPr="006F5C70">
                            <w:rPr>
                              <w:rFonts w:asciiTheme="majorHAnsi" w:hAnsiTheme="majorHAnsi"/>
                              <w:color w:val="708792" w:themeColor="background2"/>
                              <w:sz w:val="60"/>
                              <w:szCs w:val="60"/>
                            </w:rPr>
                            <w:t xml:space="preserve">ready </w:t>
                          </w:r>
                          <w:r w:rsidR="00257193">
                            <w:rPr>
                              <w:rFonts w:asciiTheme="majorHAnsi" w:hAnsiTheme="majorHAnsi"/>
                              <w:color w:val="708792" w:themeColor="background2"/>
                              <w:sz w:val="60"/>
                              <w:szCs w:val="60"/>
                            </w:rPr>
                            <w:t>for European and regional spatial planning and development</w:t>
                          </w:r>
                        </w:p>
                        <w:p w14:paraId="1983DBD4" w14:textId="77777777" w:rsidR="00FC1A26" w:rsidRPr="006F5C70" w:rsidRDefault="00FC1A26" w:rsidP="00156DCA">
                          <w:pPr>
                            <w:spacing w:before="0" w:line="180" w:lineRule="exact"/>
                            <w:ind w:left="0" w:right="0"/>
                            <w:jc w:val="left"/>
                            <w:rPr>
                              <w:rFonts w:asciiTheme="majorHAnsi" w:hAnsiTheme="majorHAnsi"/>
                              <w:color w:val="708792" w:themeColor="background2"/>
                              <w:sz w:val="60"/>
                              <w:szCs w:val="60"/>
                            </w:rPr>
                          </w:pPr>
                        </w:p>
                        <w:p w14:paraId="573FA1CC" w14:textId="77777777" w:rsidR="00FC1A26" w:rsidRPr="006F5C70" w:rsidRDefault="00FC1A26" w:rsidP="00156DCA">
                          <w:pPr>
                            <w:spacing w:before="0" w:line="260" w:lineRule="exact"/>
                            <w:ind w:left="0" w:right="0"/>
                            <w:jc w:val="left"/>
                            <w:rPr>
                              <w:rFonts w:asciiTheme="majorHAnsi" w:hAnsiTheme="majorHAnsi"/>
                              <w:color w:val="708792" w:themeColor="background2"/>
                              <w:sz w:val="60"/>
                              <w:szCs w:val="60"/>
                            </w:rPr>
                          </w:pPr>
                        </w:p>
                        <w:p w14:paraId="12D3BD74" w14:textId="1767F34F" w:rsidR="00FC1A26" w:rsidRPr="006F5C70" w:rsidRDefault="00FC1A26" w:rsidP="001B18F7">
                          <w:pPr>
                            <w:spacing w:before="0" w:line="240" w:lineRule="auto"/>
                            <w:ind w:left="0" w:right="0"/>
                            <w:jc w:val="left"/>
                            <w:rPr>
                              <w:rFonts w:asciiTheme="majorHAnsi" w:hAnsiTheme="majorHAnsi"/>
                              <w:color w:val="708792" w:themeColor="background2"/>
                              <w:sz w:val="60"/>
                              <w:szCs w:val="60"/>
                            </w:rPr>
                          </w:pPr>
                          <w:r w:rsidRPr="006F5C70">
                            <w:rPr>
                              <w:rFonts w:asciiTheme="majorHAnsi" w:hAnsiTheme="majorHAnsi"/>
                              <w:color w:val="708792" w:themeColor="background2"/>
                              <w:sz w:val="60"/>
                              <w:szCs w:val="60"/>
                            </w:rPr>
                            <w:t xml:space="preserve">H2CE – Deliverable </w:t>
                          </w:r>
                          <w:r w:rsidR="00257193">
                            <w:rPr>
                              <w:rFonts w:asciiTheme="majorHAnsi" w:hAnsiTheme="majorHAnsi"/>
                              <w:color w:val="708792" w:themeColor="background2"/>
                              <w:sz w:val="60"/>
                              <w:szCs w:val="60"/>
                            </w:rPr>
                            <w:t>1</w:t>
                          </w:r>
                          <w:r w:rsidRPr="006F5C70">
                            <w:rPr>
                              <w:rFonts w:asciiTheme="majorHAnsi" w:hAnsiTheme="majorHAnsi"/>
                              <w:color w:val="708792" w:themeColor="background2"/>
                              <w:sz w:val="60"/>
                              <w:szCs w:val="60"/>
                            </w:rPr>
                            <w:t>.2.</w:t>
                          </w:r>
                          <w:r w:rsidR="00257193">
                            <w:rPr>
                              <w:rFonts w:asciiTheme="majorHAnsi" w:hAnsiTheme="majorHAnsi"/>
                              <w:color w:val="708792" w:themeColor="background2"/>
                              <w:sz w:val="60"/>
                              <w:szCs w:val="60"/>
                            </w:rPr>
                            <w:t>2</w:t>
                          </w:r>
                          <w:r w:rsidRPr="006F5C70">
                            <w:rPr>
                              <w:rFonts w:asciiTheme="majorHAnsi" w:hAnsiTheme="majorHAnsi"/>
                              <w:color w:val="708792" w:themeColor="background2"/>
                              <w:sz w:val="60"/>
                              <w:szCs w:val="60"/>
                            </w:rPr>
                            <w:t xml:space="preserve"> </w:t>
                          </w:r>
                          <w:r w:rsidR="003371AA">
                            <w:rPr>
                              <w:rFonts w:asciiTheme="majorHAnsi" w:hAnsiTheme="majorHAnsi"/>
                              <w:color w:val="708792" w:themeColor="background2"/>
                              <w:sz w:val="60"/>
                              <w:szCs w:val="60"/>
                            </w:rPr>
                            <w:t xml:space="preserve">- </w:t>
                          </w:r>
                          <w:r w:rsidR="003371AA" w:rsidRPr="006F5C70">
                            <w:rPr>
                              <w:rFonts w:asciiTheme="majorHAnsi" w:hAnsiTheme="majorHAnsi"/>
                              <w:color w:val="708792" w:themeColor="background2"/>
                              <w:sz w:val="60"/>
                              <w:szCs w:val="60"/>
                            </w:rPr>
                            <w:t>Interregional</w:t>
                          </w:r>
                          <w:r w:rsidR="003371AA">
                            <w:rPr>
                              <w:rFonts w:asciiTheme="majorHAnsi" w:hAnsiTheme="majorHAnsi"/>
                              <w:color w:val="708792" w:themeColor="background2"/>
                              <w:sz w:val="60"/>
                              <w:szCs w:val="60"/>
                            </w:rPr>
                            <w:t xml:space="preserve"> strategy for H2-ready regions</w:t>
                          </w:r>
                        </w:p>
                        <w:p w14:paraId="0BB63005" w14:textId="77777777" w:rsidR="00FC1A26" w:rsidRPr="006F5C70" w:rsidRDefault="00FC1A26" w:rsidP="00276600">
                          <w:pPr>
                            <w:spacing w:before="0" w:line="640" w:lineRule="exact"/>
                            <w:ind w:left="0" w:right="0"/>
                            <w:jc w:val="left"/>
                            <w:rPr>
                              <w:rFonts w:asciiTheme="majorHAnsi" w:hAnsiTheme="majorHAnsi"/>
                              <w:color w:val="708792" w:themeColor="background2"/>
                              <w:sz w:val="60"/>
                              <w:szCs w:val="60"/>
                            </w:rPr>
                          </w:pPr>
                        </w:p>
                        <w:p w14:paraId="50B9E58C" w14:textId="77777777" w:rsidR="00FC1A26" w:rsidRPr="006F5C70" w:rsidRDefault="00FC1A26" w:rsidP="00485F16">
                          <w:pPr>
                            <w:pStyle w:val="CE-StandardText"/>
                            <w:rPr>
                              <w:rStyle w:val="Strong"/>
                              <w:b w:val="0"/>
                              <w:color w:val="708792" w:themeColor="background2"/>
                              <w:sz w:val="28"/>
                              <w:szCs w:val="24"/>
                            </w:rPr>
                          </w:pPr>
                          <w:r w:rsidRPr="006F5C70">
                            <w:rPr>
                              <w:rStyle w:val="Strong"/>
                              <w:b w:val="0"/>
                              <w:color w:val="708792" w:themeColor="background2"/>
                              <w:sz w:val="28"/>
                              <w:szCs w:val="24"/>
                            </w:rPr>
                            <w:t>submitted by City of Zagreb (PP10 – ZG)</w:t>
                          </w:r>
                        </w:p>
                        <w:p w14:paraId="0737336B" w14:textId="00F50F47" w:rsidR="00FC1A26" w:rsidRPr="006F5C70" w:rsidRDefault="003371AA" w:rsidP="00485F16">
                          <w:pPr>
                            <w:pStyle w:val="CE-StandardText"/>
                            <w:rPr>
                              <w:rStyle w:val="Strong"/>
                              <w:b w:val="0"/>
                              <w:color w:val="708792" w:themeColor="background2"/>
                              <w:sz w:val="28"/>
                              <w:szCs w:val="24"/>
                            </w:rPr>
                          </w:pPr>
                          <w:r>
                            <w:rPr>
                              <w:rStyle w:val="Strong"/>
                              <w:b w:val="0"/>
                              <w:color w:val="708792" w:themeColor="background2"/>
                              <w:sz w:val="28"/>
                              <w:szCs w:val="24"/>
                            </w:rPr>
                            <w:t>North-West Croatia Regional Energy and Climate Agency (PP12-REGEA)</w:t>
                          </w:r>
                        </w:p>
                        <w:p w14:paraId="7B996818" w14:textId="6CEDEDBC" w:rsidR="00FC1A26" w:rsidRPr="006F5C70" w:rsidRDefault="00FC1A26" w:rsidP="00485F16">
                          <w:pPr>
                            <w:pStyle w:val="CE-StandardText"/>
                            <w:rPr>
                              <w:rStyle w:val="Strong"/>
                              <w:b w:val="0"/>
                              <w:color w:val="708792" w:themeColor="background2"/>
                              <w:sz w:val="28"/>
                              <w:szCs w:val="24"/>
                            </w:rPr>
                          </w:pPr>
                        </w:p>
                        <w:p w14:paraId="38CF4D9B" w14:textId="15669601" w:rsidR="00FC1A26" w:rsidRPr="006F5C70" w:rsidRDefault="00FC1A26" w:rsidP="00485F16">
                          <w:pPr>
                            <w:pStyle w:val="CE-StandardText"/>
                            <w:rPr>
                              <w:rStyle w:val="Strong"/>
                              <w:b w:val="0"/>
                              <w:sz w:val="22"/>
                              <w:szCs w:val="20"/>
                            </w:rPr>
                          </w:pPr>
                          <w:r w:rsidRPr="006F5C70">
                            <w:rPr>
                              <w:rStyle w:val="Strong"/>
                              <w:b w:val="0"/>
                              <w:color w:val="708792" w:themeColor="background2"/>
                              <w:sz w:val="28"/>
                              <w:szCs w:val="24"/>
                            </w:rPr>
                            <w:t xml:space="preserve">  </w:t>
                          </w:r>
                        </w:p>
                        <w:p w14:paraId="0B7B142F" w14:textId="03E0F9AC" w:rsidR="00FC1A26" w:rsidRPr="006F5C70" w:rsidRDefault="00FC1A26" w:rsidP="0033086B">
                          <w:pPr>
                            <w:spacing w:before="0" w:line="640" w:lineRule="exact"/>
                            <w:ind w:left="0" w:right="0"/>
                            <w:jc w:val="left"/>
                            <w:rPr>
                              <w:rFonts w:asciiTheme="majorHAnsi" w:hAnsiTheme="majorHAnsi"/>
                              <w:color w:val="708792" w:themeColor="background2"/>
                              <w:sz w:val="28"/>
                              <w:szCs w:val="28"/>
                            </w:rPr>
                          </w:pPr>
                        </w:p>
                        <w:p w14:paraId="43B71D6C" w14:textId="18327FFB" w:rsidR="00FC1A26" w:rsidRPr="006F5C70" w:rsidRDefault="00A41D14" w:rsidP="00276600">
                          <w:pPr>
                            <w:spacing w:before="0" w:line="640" w:lineRule="exact"/>
                            <w:ind w:left="0" w:right="0"/>
                            <w:jc w:val="left"/>
                            <w:rPr>
                              <w:rFonts w:asciiTheme="majorHAnsi" w:hAnsiTheme="majorHAnsi"/>
                              <w:color w:val="708792" w:themeColor="background2"/>
                              <w:sz w:val="28"/>
                              <w:szCs w:val="28"/>
                            </w:rPr>
                          </w:pPr>
                          <w:r>
                            <w:rPr>
                              <w:rFonts w:asciiTheme="majorHAnsi" w:hAnsiTheme="majorHAnsi"/>
                              <w:color w:val="708792" w:themeColor="background2"/>
                              <w:sz w:val="28"/>
                              <w:szCs w:val="28"/>
                            </w:rPr>
                            <w:t>January</w:t>
                          </w:r>
                          <w:r w:rsidR="00FC1A26" w:rsidRPr="006F5C70">
                            <w:rPr>
                              <w:rFonts w:asciiTheme="majorHAnsi" w:hAnsiTheme="majorHAnsi"/>
                              <w:color w:val="708792" w:themeColor="background2"/>
                              <w:sz w:val="28"/>
                              <w:szCs w:val="28"/>
                            </w:rPr>
                            <w:t xml:space="preserve"> 202</w:t>
                          </w:r>
                          <w:r>
                            <w:rPr>
                              <w:rFonts w:asciiTheme="majorHAnsi" w:hAnsiTheme="majorHAnsi"/>
                              <w:color w:val="708792" w:themeColor="background2"/>
                              <w:sz w:val="28"/>
                              <w:szCs w:val="28"/>
                            </w:rPr>
                            <w:t>6</w:t>
                          </w:r>
                        </w:p>
                      </w:txbxContent>
                    </v:textbox>
                  </v:shape>
                </w:pict>
              </mc:Fallback>
            </mc:AlternateContent>
          </w:r>
          <w:r w:rsidR="00EE6117">
            <w:rPr>
              <w:noProof/>
              <w:lang w:val="hr-HR" w:eastAsia="hr-HR"/>
            </w:rPr>
            <mc:AlternateContent>
              <mc:Choice Requires="wps">
                <w:drawing>
                  <wp:anchor distT="0" distB="0" distL="114300" distR="114300" simplePos="0" relativeHeight="251672576" behindDoc="0" locked="0" layoutInCell="1" allowOverlap="1" wp14:anchorId="12ECFD9F" wp14:editId="30BF1D36">
                    <wp:simplePos x="0" y="0"/>
                    <wp:positionH relativeFrom="column">
                      <wp:posOffset>32385</wp:posOffset>
                    </wp:positionH>
                    <wp:positionV relativeFrom="paragraph">
                      <wp:posOffset>3455035</wp:posOffset>
                    </wp:positionV>
                    <wp:extent cx="6198919" cy="0"/>
                    <wp:effectExtent l="0" t="0" r="11430" b="12700"/>
                    <wp:wrapNone/>
                    <wp:docPr id="24" name="Gerader Verbinder 24"/>
                    <wp:cNvGraphicFramePr/>
                    <a:graphic xmlns:a="http://schemas.openxmlformats.org/drawingml/2006/main">
                      <a:graphicData uri="http://schemas.microsoft.com/office/word/2010/wordprocessingShape">
                        <wps:wsp>
                          <wps:cNvCnPr/>
                          <wps:spPr>
                            <a:xfrm>
                              <a:off x="0" y="0"/>
                              <a:ext cx="6198919" cy="0"/>
                            </a:xfrm>
                            <a:prstGeom prst="line">
                              <a:avLst/>
                            </a:prstGeom>
                            <a:ln w="1270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9FA8208" id="Gerader Verbinder 24"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272.05pt" to="490.65pt,2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" strokecolor="#9aca3c [3207]" strokeweight="1pt">
                    <v:stroke endcap="round"/>
                  </v:line>
                </w:pict>
              </mc:Fallback>
            </mc:AlternateContent>
          </w:r>
          <w:r w:rsidR="00EE6117">
            <w:rPr>
              <w:noProof/>
              <w:lang w:val="hr-HR" w:eastAsia="hr-HR"/>
            </w:rPr>
            <mc:AlternateContent>
              <mc:Choice Requires="wps">
                <w:drawing>
                  <wp:anchor distT="0" distB="0" distL="114300" distR="114300" simplePos="0" relativeHeight="251673600" behindDoc="0" locked="0" layoutInCell="1" allowOverlap="1" wp14:anchorId="77F054F6" wp14:editId="71318188">
                    <wp:simplePos x="0" y="0"/>
                    <wp:positionH relativeFrom="column">
                      <wp:posOffset>5383827</wp:posOffset>
                    </wp:positionH>
                    <wp:positionV relativeFrom="paragraph">
                      <wp:posOffset>1183129</wp:posOffset>
                    </wp:positionV>
                    <wp:extent cx="799084" cy="947420"/>
                    <wp:effectExtent l="88900" t="0" r="26670" b="0"/>
                    <wp:wrapNone/>
                    <wp:docPr id="45"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rot="1328560">
                              <a:off x="0" y="0"/>
                              <a:ext cx="799084" cy="947420"/>
                            </a:xfrm>
                            <a:custGeom>
                              <a:avLst/>
                              <a:gdLst>
                                <a:gd name="T0" fmla="*/ 755 w 1384"/>
                                <a:gd name="T1" fmla="*/ 18 h 1640"/>
                                <a:gd name="T2" fmla="*/ 737 w 1384"/>
                                <a:gd name="T3" fmla="*/ 101 h 1640"/>
                                <a:gd name="T4" fmla="*/ 787 w 1384"/>
                                <a:gd name="T5" fmla="*/ 129 h 1640"/>
                                <a:gd name="T6" fmla="*/ 839 w 1384"/>
                                <a:gd name="T7" fmla="*/ 585 h 1640"/>
                                <a:gd name="T8" fmla="*/ 789 w 1384"/>
                                <a:gd name="T9" fmla="*/ 621 h 1640"/>
                                <a:gd name="T10" fmla="*/ 778 w 1384"/>
                                <a:gd name="T11" fmla="*/ 648 h 1640"/>
                                <a:gd name="T12" fmla="*/ 800 w 1384"/>
                                <a:gd name="T13" fmla="*/ 721 h 1640"/>
                                <a:gd name="T14" fmla="*/ 463 w 1384"/>
                                <a:gd name="T15" fmla="*/ 1105 h 1640"/>
                                <a:gd name="T16" fmla="*/ 227 w 1384"/>
                                <a:gd name="T17" fmla="*/ 1069 h 1640"/>
                                <a:gd name="T18" fmla="*/ 45 w 1384"/>
                                <a:gd name="T19" fmla="*/ 1413 h 1640"/>
                                <a:gd name="T20" fmla="*/ 389 w 1384"/>
                                <a:gd name="T21" fmla="*/ 1595 h 1640"/>
                                <a:gd name="T22" fmla="*/ 571 w 1384"/>
                                <a:gd name="T23" fmla="*/ 1251 h 1640"/>
                                <a:gd name="T24" fmla="*/ 475 w 1384"/>
                                <a:gd name="T25" fmla="*/ 1114 h 1640"/>
                                <a:gd name="T26" fmla="*/ 811 w 1384"/>
                                <a:gd name="T27" fmla="*/ 730 h 1640"/>
                                <a:gd name="T28" fmla="*/ 843 w 1384"/>
                                <a:gd name="T29" fmla="*/ 743 h 1640"/>
                                <a:gd name="T30" fmla="*/ 927 w 1384"/>
                                <a:gd name="T31" fmla="*/ 706 h 1640"/>
                                <a:gd name="T32" fmla="*/ 938 w 1384"/>
                                <a:gd name="T33" fmla="*/ 679 h 1640"/>
                                <a:gd name="T34" fmla="*/ 939 w 1384"/>
                                <a:gd name="T35" fmla="*/ 662 h 1640"/>
                                <a:gd name="T36" fmla="*/ 1259 w 1384"/>
                                <a:gd name="T37" fmla="*/ 583 h 1640"/>
                                <a:gd name="T38" fmla="*/ 1265 w 1384"/>
                                <a:gd name="T39" fmla="*/ 594 h 1640"/>
                                <a:gd name="T40" fmla="*/ 1348 w 1384"/>
                                <a:gd name="T41" fmla="*/ 613 h 1640"/>
                                <a:gd name="T42" fmla="*/ 1367 w 1384"/>
                                <a:gd name="T43" fmla="*/ 530 h 1640"/>
                                <a:gd name="T44" fmla="*/ 1283 w 1384"/>
                                <a:gd name="T45" fmla="*/ 511 h 1640"/>
                                <a:gd name="T46" fmla="*/ 1256 w 1384"/>
                                <a:gd name="T47" fmla="*/ 569 h 1640"/>
                                <a:gd name="T48" fmla="*/ 937 w 1384"/>
                                <a:gd name="T49" fmla="*/ 648 h 1640"/>
                                <a:gd name="T50" fmla="*/ 925 w 1384"/>
                                <a:gd name="T51" fmla="*/ 618 h 1640"/>
                                <a:gd name="T52" fmla="*/ 873 w 1384"/>
                                <a:gd name="T53" fmla="*/ 584 h 1640"/>
                                <a:gd name="T54" fmla="*/ 853 w 1384"/>
                                <a:gd name="T55" fmla="*/ 583 h 1640"/>
                                <a:gd name="T56" fmla="*/ 801 w 1384"/>
                                <a:gd name="T57" fmla="*/ 127 h 1640"/>
                                <a:gd name="T58" fmla="*/ 820 w 1384"/>
                                <a:gd name="T59" fmla="*/ 120 h 1640"/>
                                <a:gd name="T60" fmla="*/ 838 w 1384"/>
                                <a:gd name="T61" fmla="*/ 36 h 1640"/>
                                <a:gd name="T62" fmla="*/ 755 w 1384"/>
                                <a:gd name="T63" fmla="*/ 18 h 1640"/>
                                <a:gd name="T64" fmla="*/ 913 w 1384"/>
                                <a:gd name="T65" fmla="*/ 626 h 1640"/>
                                <a:gd name="T66" fmla="*/ 923 w 1384"/>
                                <a:gd name="T67" fmla="*/ 651 h 1640"/>
                                <a:gd name="T68" fmla="*/ 923 w 1384"/>
                                <a:gd name="T69" fmla="*/ 651 h 1640"/>
                                <a:gd name="T70" fmla="*/ 924 w 1384"/>
                                <a:gd name="T71" fmla="*/ 653 h 1640"/>
                                <a:gd name="T72" fmla="*/ 923 w 1384"/>
                                <a:gd name="T73" fmla="*/ 676 h 1640"/>
                                <a:gd name="T74" fmla="*/ 915 w 1384"/>
                                <a:gd name="T75" fmla="*/ 699 h 1640"/>
                                <a:gd name="T76" fmla="*/ 845 w 1384"/>
                                <a:gd name="T77" fmla="*/ 729 h 1640"/>
                                <a:gd name="T78" fmla="*/ 792 w 1384"/>
                                <a:gd name="T79" fmla="*/ 651 h 1640"/>
                                <a:gd name="T80" fmla="*/ 801 w 1384"/>
                                <a:gd name="T81" fmla="*/ 628 h 1640"/>
                                <a:gd name="T82" fmla="*/ 870 w 1384"/>
                                <a:gd name="T83" fmla="*/ 598 h 1640"/>
                                <a:gd name="T84" fmla="*/ 913 w 1384"/>
                                <a:gd name="T85" fmla="*/ 626 h 1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84" h="1640">
                                  <a:moveTo>
                                    <a:pt x="755" y="18"/>
                                  </a:moveTo>
                                  <a:cubicBezTo>
                                    <a:pt x="727" y="36"/>
                                    <a:pt x="719" y="73"/>
                                    <a:pt x="737" y="101"/>
                                  </a:cubicBezTo>
                                  <a:cubicBezTo>
                                    <a:pt x="748" y="119"/>
                                    <a:pt x="767" y="129"/>
                                    <a:pt x="787" y="129"/>
                                  </a:cubicBezTo>
                                  <a:lnTo>
                                    <a:pt x="839" y="585"/>
                                  </a:lnTo>
                                  <a:cubicBezTo>
                                    <a:pt x="819" y="590"/>
                                    <a:pt x="800" y="602"/>
                                    <a:pt x="789" y="621"/>
                                  </a:cubicBezTo>
                                  <a:cubicBezTo>
                                    <a:pt x="784" y="629"/>
                                    <a:pt x="780" y="639"/>
                                    <a:pt x="778" y="648"/>
                                  </a:cubicBezTo>
                                  <a:cubicBezTo>
                                    <a:pt x="773" y="676"/>
                                    <a:pt x="782" y="702"/>
                                    <a:pt x="800" y="721"/>
                                  </a:cubicBezTo>
                                  <a:lnTo>
                                    <a:pt x="463" y="1105"/>
                                  </a:lnTo>
                                  <a:cubicBezTo>
                                    <a:pt x="396" y="1060"/>
                                    <a:pt x="310" y="1044"/>
                                    <a:pt x="227" y="1069"/>
                                  </a:cubicBezTo>
                                  <a:cubicBezTo>
                                    <a:pt x="82" y="1114"/>
                                    <a:pt x="0" y="1268"/>
                                    <a:pt x="45" y="1413"/>
                                  </a:cubicBezTo>
                                  <a:cubicBezTo>
                                    <a:pt x="90" y="1559"/>
                                    <a:pt x="244" y="1640"/>
                                    <a:pt x="389" y="1595"/>
                                  </a:cubicBezTo>
                                  <a:cubicBezTo>
                                    <a:pt x="535" y="1551"/>
                                    <a:pt x="616" y="1396"/>
                                    <a:pt x="571" y="1251"/>
                                  </a:cubicBezTo>
                                  <a:cubicBezTo>
                                    <a:pt x="554" y="1194"/>
                                    <a:pt x="519" y="1147"/>
                                    <a:pt x="475" y="1114"/>
                                  </a:cubicBezTo>
                                  <a:lnTo>
                                    <a:pt x="811" y="730"/>
                                  </a:lnTo>
                                  <a:cubicBezTo>
                                    <a:pt x="820" y="736"/>
                                    <a:pt x="831" y="741"/>
                                    <a:pt x="843" y="743"/>
                                  </a:cubicBezTo>
                                  <a:cubicBezTo>
                                    <a:pt x="876" y="749"/>
                                    <a:pt x="909" y="735"/>
                                    <a:pt x="927" y="706"/>
                                  </a:cubicBezTo>
                                  <a:cubicBezTo>
                                    <a:pt x="932" y="698"/>
                                    <a:pt x="936" y="688"/>
                                    <a:pt x="938" y="679"/>
                                  </a:cubicBezTo>
                                  <a:cubicBezTo>
                                    <a:pt x="939" y="673"/>
                                    <a:pt x="939" y="668"/>
                                    <a:pt x="939" y="662"/>
                                  </a:cubicBezTo>
                                  <a:lnTo>
                                    <a:pt x="1259" y="583"/>
                                  </a:lnTo>
                                  <a:cubicBezTo>
                                    <a:pt x="1261" y="587"/>
                                    <a:pt x="1263" y="591"/>
                                    <a:pt x="1265" y="594"/>
                                  </a:cubicBezTo>
                                  <a:cubicBezTo>
                                    <a:pt x="1283" y="622"/>
                                    <a:pt x="1320" y="631"/>
                                    <a:pt x="1348" y="613"/>
                                  </a:cubicBezTo>
                                  <a:cubicBezTo>
                                    <a:pt x="1376" y="595"/>
                                    <a:pt x="1384" y="558"/>
                                    <a:pt x="1367" y="530"/>
                                  </a:cubicBezTo>
                                  <a:cubicBezTo>
                                    <a:pt x="1349" y="501"/>
                                    <a:pt x="1311" y="493"/>
                                    <a:pt x="1283" y="511"/>
                                  </a:cubicBezTo>
                                  <a:cubicBezTo>
                                    <a:pt x="1263" y="524"/>
                                    <a:pt x="1253" y="547"/>
                                    <a:pt x="1256" y="569"/>
                                  </a:cubicBezTo>
                                  <a:lnTo>
                                    <a:pt x="937" y="648"/>
                                  </a:lnTo>
                                  <a:cubicBezTo>
                                    <a:pt x="935" y="637"/>
                                    <a:pt x="931" y="627"/>
                                    <a:pt x="925" y="618"/>
                                  </a:cubicBezTo>
                                  <a:cubicBezTo>
                                    <a:pt x="913" y="600"/>
                                    <a:pt x="894" y="588"/>
                                    <a:pt x="873" y="584"/>
                                  </a:cubicBezTo>
                                  <a:cubicBezTo>
                                    <a:pt x="866" y="583"/>
                                    <a:pt x="860" y="582"/>
                                    <a:pt x="853" y="583"/>
                                  </a:cubicBezTo>
                                  <a:lnTo>
                                    <a:pt x="801" y="127"/>
                                  </a:lnTo>
                                  <a:cubicBezTo>
                                    <a:pt x="808" y="126"/>
                                    <a:pt x="814" y="123"/>
                                    <a:pt x="820" y="120"/>
                                  </a:cubicBezTo>
                                  <a:cubicBezTo>
                                    <a:pt x="848" y="102"/>
                                    <a:pt x="856" y="64"/>
                                    <a:pt x="838" y="36"/>
                                  </a:cubicBezTo>
                                  <a:cubicBezTo>
                                    <a:pt x="821" y="8"/>
                                    <a:pt x="783" y="0"/>
                                    <a:pt x="755" y="18"/>
                                  </a:cubicBezTo>
                                  <a:moveTo>
                                    <a:pt x="913" y="626"/>
                                  </a:moveTo>
                                  <a:cubicBezTo>
                                    <a:pt x="918" y="634"/>
                                    <a:pt x="922" y="642"/>
                                    <a:pt x="923" y="651"/>
                                  </a:cubicBezTo>
                                  <a:lnTo>
                                    <a:pt x="923" y="651"/>
                                  </a:lnTo>
                                  <a:lnTo>
                                    <a:pt x="924" y="653"/>
                                  </a:lnTo>
                                  <a:cubicBezTo>
                                    <a:pt x="925" y="660"/>
                                    <a:pt x="925" y="668"/>
                                    <a:pt x="923" y="676"/>
                                  </a:cubicBezTo>
                                  <a:cubicBezTo>
                                    <a:pt x="922" y="684"/>
                                    <a:pt x="919" y="692"/>
                                    <a:pt x="915" y="699"/>
                                  </a:cubicBezTo>
                                  <a:cubicBezTo>
                                    <a:pt x="900" y="722"/>
                                    <a:pt x="872" y="734"/>
                                    <a:pt x="845" y="729"/>
                                  </a:cubicBezTo>
                                  <a:cubicBezTo>
                                    <a:pt x="809" y="722"/>
                                    <a:pt x="785" y="687"/>
                                    <a:pt x="792" y="651"/>
                                  </a:cubicBezTo>
                                  <a:cubicBezTo>
                                    <a:pt x="794" y="643"/>
                                    <a:pt x="797" y="635"/>
                                    <a:pt x="801" y="628"/>
                                  </a:cubicBezTo>
                                  <a:cubicBezTo>
                                    <a:pt x="816" y="605"/>
                                    <a:pt x="843" y="593"/>
                                    <a:pt x="870" y="598"/>
                                  </a:cubicBezTo>
                                  <a:cubicBezTo>
                                    <a:pt x="888" y="601"/>
                                    <a:pt x="903" y="611"/>
                                    <a:pt x="913" y="626"/>
                                  </a:cubicBezTo>
                                  <a:close/>
                                </a:path>
                              </a:pathLst>
                            </a:custGeom>
                            <a:solidFill>
                              <a:schemeClr val="accent4"/>
                            </a:solidFill>
                            <a:ln>
                              <a:noFill/>
                            </a:ln>
                          </wps:spPr>
                          <wps:bodyPr rot="0" vert="horz" wrap="square" lIns="91440" tIns="45720" rIns="91440" bIns="45720" anchor="t" anchorCtr="0" upright="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91B626" id="Freeform 14" o:spid="_x0000_s1026" style="position:absolute;margin-left:423.9pt;margin-top:93.15pt;width:62.9pt;height:74.6pt;rotation:1451142fd;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1384,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" path="m755,18v-28,18,-36,55,-18,83c748,119,767,129,787,129r52,456c819,590,800,602,789,621v-5,8,-9,18,-11,27c773,676,782,702,800,721l463,1105v-67,-45,-153,-61,-236,-36c82,1114,,1268,45,1413v45,146,199,227,344,182c535,1551,616,1396,571,1251v-17,-57,-52,-104,-96,-137l811,730v9,6,20,11,32,13c876,749,909,735,927,706v5,-8,9,-18,11,-27c939,673,939,668,939,662r320,-79c1261,587,1263,591,1265,594v18,28,55,37,83,19c1376,595,1384,558,1367,530v-18,-29,-56,-37,-84,-19c1263,524,1253,547,1256,569l937,648v-2,-11,-6,-21,-12,-30c913,600,894,588,873,584v-7,-1,-13,-2,-20,-1l801,127v7,-1,13,-4,19,-7c848,102,856,64,838,36,821,8,783,,755,18m913,626v5,8,9,16,10,25l923,651r1,2c925,660,925,668,923,676v-1,8,-4,16,-8,23c900,722,872,734,845,729v-36,-7,-60,-42,-53,-78c794,643,797,635,801,628v15,-23,42,-35,69,-30c888,601,903,611,913,626xe" fillcolor="#9aca3c [3207]" stroked="f">
                    <v:path arrowok="t" o:connecttype="custom" o:connectlocs="435916,10399;425524,58347;454392,74523;484416,337952;455547,358749;449196,374346;461898,416518;267324,638353;131064,617556;25982,816283;224598,921424;329680,722697;274252,643552;468249,421717;486725,429227;535225,407853;541576,392255;542153,382434;726912,336796;730377,343151;778299,354127;789269,306178;740769,295202;725180,328709;540998,374346;534070,357016;504046,337374;492499,336796;462476,73367;473446,69323;483838,20797;435916,10399;527141,361637;532915,376080;532915,376080;533492,377235;532915,390522;528296,403809;487880,421140;457279,376080;462476,362793;502314,345462;527141,361637" o:connectangles="0,0,0,0,0,0,0,0,0,0,0,0,0,0,0,0,0,0,0,0,0,0,0,0,0,0,0,0,0,0,0,0,0,0,0,0,0,0,0,0,0,0,0"/>
                    <o:lock v:ext="edit" verticies="t"/>
                  </v:shape>
                </w:pict>
              </mc:Fallback>
            </mc:AlternateContent>
          </w:r>
          <w:r w:rsidR="00EE6117">
            <w:rPr>
              <w:noProof/>
              <w:lang w:val="hr-HR" w:eastAsia="hr-HR"/>
            </w:rPr>
            <mc:AlternateContent>
              <mc:Choice Requires="wps">
                <w:drawing>
                  <wp:anchor distT="0" distB="0" distL="114300" distR="114300" simplePos="0" relativeHeight="251672064" behindDoc="0" locked="0" layoutInCell="1" allowOverlap="1" wp14:anchorId="1BBA73E2" wp14:editId="105BF2E4">
                    <wp:simplePos x="0" y="0"/>
                    <wp:positionH relativeFrom="column">
                      <wp:posOffset>3891610</wp:posOffset>
                    </wp:positionH>
                    <wp:positionV relativeFrom="paragraph">
                      <wp:posOffset>1999615</wp:posOffset>
                    </wp:positionV>
                    <wp:extent cx="2373630" cy="536575"/>
                    <wp:effectExtent l="0" t="0" r="0" b="0"/>
                    <wp:wrapNone/>
                    <wp:docPr id="20" name="Textfeld 20"/>
                    <wp:cNvGraphicFramePr/>
                    <a:graphic xmlns:a="http://schemas.openxmlformats.org/drawingml/2006/main">
                      <a:graphicData uri="http://schemas.microsoft.com/office/word/2010/wordprocessingShape">
                        <wps:wsp>
                          <wps:cNvSpPr txBox="1"/>
                          <wps:spPr bwMode="auto">
                            <a:xfrm>
                              <a:off x="0" y="0"/>
                              <a:ext cx="2373630" cy="536575"/>
                            </a:xfrm>
                            <a:prstGeom prst="rect">
                              <a:avLst/>
                            </a:prstGeom>
                            <a:noFill/>
                            <a:ln w="6350">
                              <a:noFill/>
                            </a:ln>
                          </wps:spPr>
                          <wps:txbx>
                            <w:txbxContent>
                              <w:p w14:paraId="0C59E9A8" w14:textId="7F6AACE5" w:rsidR="00FC1A26" w:rsidRPr="006F5C70" w:rsidRDefault="00FC1A26" w:rsidP="00EE6117">
                                <w:pPr>
                                  <w:pStyle w:val="CE-StandardText"/>
                                  <w:spacing w:line="240" w:lineRule="auto"/>
                                  <w:jc w:val="right"/>
                                  <w:rPr>
                                    <w:color w:val="90ABB1" w:themeColor="accent1"/>
                                  </w:rPr>
                                </w:pPr>
                                <w:r w:rsidRPr="006F5C70">
                                  <w:rPr>
                                    <w:color w:val="90ABB1" w:themeColor="accent1"/>
                                  </w:rPr>
                                  <w:t xml:space="preserve">Version </w:t>
                                </w:r>
                                <w:r w:rsidR="00A41D14">
                                  <w:rPr>
                                    <w:color w:val="90ABB1" w:themeColor="accent1"/>
                                  </w:rPr>
                                  <w:t>2</w:t>
                                </w:r>
                              </w:p>
                              <w:p w14:paraId="70658DBF" w14:textId="387E8A31" w:rsidR="00FC1A26" w:rsidRPr="006F5C70" w:rsidRDefault="00A41D14" w:rsidP="00EE6117">
                                <w:pPr>
                                  <w:pStyle w:val="CE-StandardText"/>
                                  <w:spacing w:line="240" w:lineRule="auto"/>
                                  <w:jc w:val="right"/>
                                  <w:rPr>
                                    <w:color w:val="90ABB1" w:themeColor="accent1"/>
                                  </w:rPr>
                                </w:pPr>
                                <w:r>
                                  <w:rPr>
                                    <w:color w:val="90ABB1" w:themeColor="accent1"/>
                                  </w:rPr>
                                  <w:t>January</w:t>
                                </w:r>
                                <w:r w:rsidR="00FC1A26" w:rsidRPr="006F5C70">
                                  <w:rPr>
                                    <w:color w:val="90ABB1" w:themeColor="accent1"/>
                                  </w:rPr>
                                  <w:t xml:space="preserve"> 202</w:t>
                                </w:r>
                                <w:r>
                                  <w:rPr>
                                    <w:color w:val="90ABB1" w:themeColor="accent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BA73E2" id="Textfeld 20" o:spid="_x0000_s1027" type="#_x0000_t202" style="position:absolute;left:0;text-align:left;margin-left:306.45pt;margin-top:157.45pt;width:186.9pt;height:42.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" filled="f" stroked="f" strokeweight=".5pt">
                    <v:textbox>
                      <w:txbxContent>
                        <w:p w14:paraId="0C59E9A8" w14:textId="7F6AACE5" w:rsidR="00FC1A26" w:rsidRPr="006F5C70" w:rsidRDefault="00FC1A26" w:rsidP="00EE6117">
                          <w:pPr>
                            <w:pStyle w:val="CE-StandardText"/>
                            <w:spacing w:line="240" w:lineRule="auto"/>
                            <w:jc w:val="right"/>
                            <w:rPr>
                              <w:color w:val="90ABB1" w:themeColor="accent1"/>
                            </w:rPr>
                          </w:pPr>
                          <w:r w:rsidRPr="006F5C70">
                            <w:rPr>
                              <w:color w:val="90ABB1" w:themeColor="accent1"/>
                            </w:rPr>
                            <w:t xml:space="preserve">Version </w:t>
                          </w:r>
                          <w:r w:rsidR="00A41D14">
                            <w:rPr>
                              <w:color w:val="90ABB1" w:themeColor="accent1"/>
                            </w:rPr>
                            <w:t>2</w:t>
                          </w:r>
                        </w:p>
                        <w:p w14:paraId="70658DBF" w14:textId="387E8A31" w:rsidR="00FC1A26" w:rsidRPr="006F5C70" w:rsidRDefault="00A41D14" w:rsidP="00EE6117">
                          <w:pPr>
                            <w:pStyle w:val="CE-StandardText"/>
                            <w:spacing w:line="240" w:lineRule="auto"/>
                            <w:jc w:val="right"/>
                            <w:rPr>
                              <w:color w:val="90ABB1" w:themeColor="accent1"/>
                            </w:rPr>
                          </w:pPr>
                          <w:r>
                            <w:rPr>
                              <w:color w:val="90ABB1" w:themeColor="accent1"/>
                            </w:rPr>
                            <w:t>January</w:t>
                          </w:r>
                          <w:r w:rsidR="00FC1A26" w:rsidRPr="006F5C70">
                            <w:rPr>
                              <w:color w:val="90ABB1" w:themeColor="accent1"/>
                            </w:rPr>
                            <w:t xml:space="preserve"> 202</w:t>
                          </w:r>
                          <w:r>
                            <w:rPr>
                              <w:color w:val="90ABB1" w:themeColor="accent1"/>
                            </w:rPr>
                            <w:t>6</w:t>
                          </w:r>
                        </w:p>
                      </w:txbxContent>
                    </v:textbox>
                  </v:shape>
                </w:pict>
              </mc:Fallback>
            </mc:AlternateContent>
          </w:r>
        </w:p>
        <w:p w14:paraId="2959DBD8" w14:textId="77777777" w:rsidR="00731BF8" w:rsidRDefault="00731BF8" w:rsidP="00276600">
          <w:pPr>
            <w:spacing w:before="0" w:line="240" w:lineRule="auto"/>
            <w:ind w:left="0" w:right="0"/>
          </w:pPr>
        </w:p>
        <w:p w14:paraId="7753C8CE" w14:textId="77777777" w:rsidR="00731BF8" w:rsidRDefault="00731BF8" w:rsidP="00276600">
          <w:pPr>
            <w:spacing w:before="0" w:line="240" w:lineRule="auto"/>
            <w:ind w:left="0" w:right="0"/>
          </w:pPr>
        </w:p>
        <w:p w14:paraId="644B70C8" w14:textId="77777777" w:rsidR="008D61D5" w:rsidRPr="00E61DDB" w:rsidRDefault="008D61D5">
          <w:pPr>
            <w:pStyle w:val="Tekstfusnote"/>
          </w:pPr>
        </w:p>
        <w:p w14:paraId="3D32A2DD" w14:textId="77777777" w:rsidR="008D61D5" w:rsidRDefault="008D61D5">
          <w:pPr>
            <w:pStyle w:val="CE-StandardText"/>
          </w:pPr>
        </w:p>
        <w:p w14:paraId="5A9EDBF0" w14:textId="77777777" w:rsidR="008D61D5" w:rsidRDefault="008D61D5">
          <w:pPr>
            <w:pStyle w:val="CE-StandardText"/>
          </w:pPr>
        </w:p>
        <w:sdt>
          <w:sdtPr>
            <w:id w:val="-547530610"/>
            <w:lock w:val="sdtContentLocked"/>
            <w:group/>
          </w:sdtPr>
          <w:sdtEndPr/>
          <w:sdtContent>
            <w:sdt>
              <w:sdtPr>
                <w:id w:val="2099130923"/>
                <w:lock w:val="sdtContentLocked"/>
                <w:group/>
              </w:sdtPr>
              <w:sdtEndPr/>
              <w:sdtContent>
                <w:p w14:paraId="1B68765C" w14:textId="77777777" w:rsidR="008D61D5" w:rsidRDefault="008D61D5">
                  <w:pPr>
                    <w:pStyle w:val="CE-StandardText"/>
                  </w:pPr>
                </w:p>
                <w:p w14:paraId="119157AE" w14:textId="77777777" w:rsidR="00542334" w:rsidRDefault="00542334">
                  <w:pPr>
                    <w:pStyle w:val="CE-StandardText"/>
                  </w:pPr>
                </w:p>
                <w:p w14:paraId="0FDD60CA" w14:textId="77777777" w:rsidR="00542334" w:rsidRDefault="00542334">
                  <w:pPr>
                    <w:pStyle w:val="CE-StandardText"/>
                  </w:pPr>
                </w:p>
                <w:p w14:paraId="3AD6F029" w14:textId="77777777" w:rsidR="00542334" w:rsidRDefault="00542334">
                  <w:pPr>
                    <w:pStyle w:val="CE-StandardText"/>
                  </w:pPr>
                </w:p>
                <w:p w14:paraId="62C8395F" w14:textId="77777777" w:rsidR="00542334" w:rsidRDefault="00542334">
                  <w:pPr>
                    <w:pStyle w:val="CE-StandardText"/>
                  </w:pPr>
                </w:p>
                <w:p w14:paraId="364DE19B" w14:textId="77777777" w:rsidR="00542334" w:rsidRDefault="00542334">
                  <w:pPr>
                    <w:pStyle w:val="CE-StandardText"/>
                  </w:pPr>
                </w:p>
                <w:p w14:paraId="64D4C6F5" w14:textId="77777777" w:rsidR="00542334" w:rsidRDefault="00542334">
                  <w:pPr>
                    <w:pStyle w:val="CE-StandardText"/>
                  </w:pPr>
                </w:p>
                <w:p w14:paraId="51E18210" w14:textId="77777777" w:rsidR="00542334" w:rsidRDefault="00542334">
                  <w:pPr>
                    <w:pStyle w:val="CE-StandardText"/>
                  </w:pPr>
                </w:p>
                <w:p w14:paraId="53479094" w14:textId="77777777" w:rsidR="00542334" w:rsidRDefault="00542334">
                  <w:pPr>
                    <w:pStyle w:val="CE-StandardText"/>
                  </w:pPr>
                </w:p>
                <w:p w14:paraId="7B8265C3" w14:textId="77777777" w:rsidR="00542334" w:rsidRDefault="00542334">
                  <w:pPr>
                    <w:pStyle w:val="CE-StandardText"/>
                  </w:pPr>
                </w:p>
                <w:p w14:paraId="5486EE89" w14:textId="77777777" w:rsidR="00542334" w:rsidRDefault="00542334">
                  <w:pPr>
                    <w:pStyle w:val="CE-StandardText"/>
                  </w:pPr>
                </w:p>
                <w:p w14:paraId="5779F1FB" w14:textId="77777777" w:rsidR="00542334" w:rsidRDefault="00542334">
                  <w:pPr>
                    <w:pStyle w:val="CE-StandardText"/>
                  </w:pPr>
                </w:p>
                <w:p w14:paraId="7C451FD1" w14:textId="77777777" w:rsidR="00542334" w:rsidRDefault="00542334">
                  <w:pPr>
                    <w:pStyle w:val="CE-StandardText"/>
                  </w:pPr>
                </w:p>
                <w:p w14:paraId="02E29BE0" w14:textId="77777777" w:rsidR="00542334" w:rsidRDefault="00542334">
                  <w:pPr>
                    <w:pStyle w:val="CE-StandardText"/>
                  </w:pPr>
                </w:p>
                <w:p w14:paraId="4A829918" w14:textId="77777777" w:rsidR="00542334" w:rsidRDefault="00542334">
                  <w:pPr>
                    <w:pStyle w:val="CE-StandardText"/>
                  </w:pPr>
                </w:p>
                <w:p w14:paraId="0F381AD2" w14:textId="77777777" w:rsidR="00542334" w:rsidRDefault="00542334">
                  <w:pPr>
                    <w:pStyle w:val="CE-StandardText"/>
                  </w:pPr>
                </w:p>
                <w:p w14:paraId="7669A062" w14:textId="77777777" w:rsidR="00542334" w:rsidRDefault="00542334">
                  <w:pPr>
                    <w:pStyle w:val="CE-StandardText"/>
                  </w:pPr>
                </w:p>
                <w:p w14:paraId="4D3AD559" w14:textId="77777777" w:rsidR="00542334" w:rsidRDefault="00542334">
                  <w:pPr>
                    <w:pStyle w:val="CE-StandardText"/>
                  </w:pPr>
                </w:p>
                <w:p w14:paraId="65179A03" w14:textId="77777777" w:rsidR="00542334" w:rsidRDefault="00542334">
                  <w:pPr>
                    <w:pStyle w:val="CE-StandardText"/>
                  </w:pPr>
                </w:p>
                <w:p w14:paraId="557C4765" w14:textId="77777777" w:rsidR="00542334" w:rsidRDefault="00542334">
                  <w:pPr>
                    <w:pStyle w:val="CE-StandardText"/>
                  </w:pPr>
                </w:p>
                <w:p w14:paraId="1BCBD386" w14:textId="77777777" w:rsidR="00542334" w:rsidRDefault="00542334">
                  <w:pPr>
                    <w:pStyle w:val="CE-StandardText"/>
                  </w:pPr>
                </w:p>
                <w:p w14:paraId="757E6962" w14:textId="77777777" w:rsidR="00542334" w:rsidRDefault="00542334">
                  <w:pPr>
                    <w:pStyle w:val="CE-StandardText"/>
                  </w:pPr>
                </w:p>
                <w:p w14:paraId="0D9DCD2A" w14:textId="77777777" w:rsidR="00542334" w:rsidRDefault="00542334">
                  <w:pPr>
                    <w:pStyle w:val="CE-StandardText"/>
                  </w:pPr>
                </w:p>
                <w:p w14:paraId="79D481C5" w14:textId="77777777" w:rsidR="00542334" w:rsidRDefault="00542334">
                  <w:pPr>
                    <w:pStyle w:val="CE-StandardText"/>
                  </w:pPr>
                </w:p>
                <w:p w14:paraId="688367A3" w14:textId="77777777" w:rsidR="00942A8A" w:rsidRDefault="00AD3844">
                  <w:pPr>
                    <w:pStyle w:val="CE-StandardText"/>
                  </w:pPr>
                </w:p>
              </w:sdtContent>
            </w:sdt>
          </w:sdtContent>
        </w:sdt>
        <w:sdt>
          <w:sdtPr>
            <w:rPr>
              <w:lang w:val="de-AT"/>
            </w:rPr>
            <w:id w:val="-128864140"/>
            <w:lock w:val="sdtContentLocked"/>
            <w:group/>
          </w:sdtPr>
          <w:sdtEndPr/>
          <w:sdtContent>
            <w:p w14:paraId="142BC8D6" w14:textId="77777777" w:rsidR="00CF374E" w:rsidRPr="0069515F" w:rsidRDefault="00CF374E">
              <w:pPr>
                <w:pStyle w:val="CE-StandardText"/>
              </w:pPr>
              <w:r>
                <w:rPr>
                  <w:lang w:val="de-AT"/>
                </w:rPr>
                <w:t xml:space="preserve"> </w:t>
              </w:r>
            </w:p>
          </w:sdtContent>
        </w:sdt>
        <w:p w14:paraId="6EC46D71" w14:textId="4F93CD9D" w:rsidR="00344933" w:rsidRDefault="00344933" w:rsidP="008F3F18">
          <w:pPr>
            <w:spacing w:before="0" w:line="240" w:lineRule="auto"/>
            <w:ind w:left="0" w:right="0"/>
            <w:rPr>
              <w:rFonts w:ascii="Trebuchet MS" w:hAnsi="Trebuchet MS"/>
              <w:caps/>
              <w:color w:val="708792" w:themeColor="background2"/>
              <w:spacing w:val="-20"/>
              <w:kern w:val="72"/>
              <w:sz w:val="60"/>
              <w:szCs w:val="76"/>
              <w14:ligatures w14:val="standard"/>
            </w:rPr>
          </w:pPr>
          <w:r w:rsidRPr="0069515F">
            <w:br w:type="page"/>
          </w:r>
        </w:p>
      </w:sdtContent>
    </w:sdt>
    <w:p w14:paraId="2B2365B7" w14:textId="77777777" w:rsidR="00BF46A1" w:rsidRDefault="00BF46A1" w:rsidP="00584F95">
      <w:pPr>
        <w:pStyle w:val="CE-StandardText"/>
        <w:rPr>
          <w:color w:val="708792" w:themeColor="background2"/>
          <w:sz w:val="28"/>
        </w:rPr>
      </w:pPr>
    </w:p>
    <w:p w14:paraId="4C718DDE" w14:textId="77777777" w:rsidR="00BF46A1" w:rsidRDefault="00BF46A1" w:rsidP="00584F95">
      <w:pPr>
        <w:pStyle w:val="CE-StandardText"/>
        <w:rPr>
          <w:color w:val="708792" w:themeColor="background2"/>
          <w:sz w:val="28"/>
        </w:rPr>
      </w:pPr>
    </w:p>
    <w:p w14:paraId="2A9F7822" w14:textId="08687A2B" w:rsidR="008F1A56" w:rsidRPr="00584F95" w:rsidRDefault="008F1A56" w:rsidP="00584F95">
      <w:pPr>
        <w:pStyle w:val="CE-StandardText"/>
        <w:rPr>
          <w:color w:val="708792" w:themeColor="background2"/>
          <w:sz w:val="28"/>
        </w:rPr>
      </w:pPr>
      <w:r w:rsidRPr="00584F95">
        <w:rPr>
          <w:color w:val="708792" w:themeColor="background2"/>
          <w:sz w:val="28"/>
        </w:rPr>
        <w:t xml:space="preserve">Content </w:t>
      </w:r>
    </w:p>
    <w:p w14:paraId="559188A0" w14:textId="77777777" w:rsidR="008F1A56" w:rsidRDefault="008F1A56" w:rsidP="003864DA">
      <w:pPr>
        <w:spacing w:before="0" w:line="240" w:lineRule="auto"/>
        <w:ind w:left="0" w:right="0"/>
        <w:rPr>
          <w:b/>
          <w:bCs/>
        </w:rPr>
      </w:pPr>
    </w:p>
    <w:p w14:paraId="0FE915D5" w14:textId="73BD687E" w:rsidR="00D0604D" w:rsidRDefault="00A41F15">
      <w:pPr>
        <w:pStyle w:val="Sadraj2"/>
        <w:rPr>
          <w:rFonts w:eastAsiaTheme="minorEastAsia" w:cstheme="minorBidi"/>
          <w:b w:val="0"/>
          <w:bCs w:val="0"/>
          <w:noProof/>
          <w:kern w:val="2"/>
          <w:sz w:val="24"/>
          <w:szCs w:val="24"/>
          <w:lang w:val="hr-HR" w:eastAsia="hr-HR"/>
          <w14:ligatures w14:val="standardContextual"/>
        </w:rPr>
      </w:pPr>
      <w:r>
        <w:fldChar w:fldCharType="begin"/>
      </w:r>
      <w:r>
        <w:instrText xml:space="preserve"> TOC \o "1-3" \h \z \u </w:instrText>
      </w:r>
      <w:r>
        <w:fldChar w:fldCharType="separate"/>
      </w:r>
      <w:hyperlink w:anchor="_Toc219232391" w:history="1">
        <w:r w:rsidR="00D0604D" w:rsidRPr="001F164A">
          <w:rPr>
            <w:rStyle w:val="Hiperveza"/>
            <w:rFonts w:eastAsia="Calibri"/>
            <w:noProof/>
          </w:rPr>
          <w:t>1. Introduction</w:t>
        </w:r>
        <w:r w:rsidR="00D0604D">
          <w:rPr>
            <w:noProof/>
            <w:webHidden/>
          </w:rPr>
          <w:tab/>
        </w:r>
        <w:r w:rsidR="00D0604D">
          <w:rPr>
            <w:noProof/>
            <w:webHidden/>
          </w:rPr>
          <w:fldChar w:fldCharType="begin"/>
        </w:r>
        <w:r w:rsidR="00D0604D">
          <w:rPr>
            <w:noProof/>
            <w:webHidden/>
          </w:rPr>
          <w:instrText xml:space="preserve"> PAGEREF _Toc219232391 \h </w:instrText>
        </w:r>
        <w:r w:rsidR="00D0604D">
          <w:rPr>
            <w:noProof/>
            <w:webHidden/>
          </w:rPr>
        </w:r>
        <w:r w:rsidR="00D0604D">
          <w:rPr>
            <w:noProof/>
            <w:webHidden/>
          </w:rPr>
          <w:fldChar w:fldCharType="separate"/>
        </w:r>
        <w:r w:rsidR="00D0604D">
          <w:rPr>
            <w:noProof/>
            <w:webHidden/>
          </w:rPr>
          <w:t>3</w:t>
        </w:r>
        <w:r w:rsidR="00D0604D">
          <w:rPr>
            <w:noProof/>
            <w:webHidden/>
          </w:rPr>
          <w:fldChar w:fldCharType="end"/>
        </w:r>
      </w:hyperlink>
    </w:p>
    <w:p w14:paraId="7BF737AF" w14:textId="7FC560E4" w:rsidR="00D0604D" w:rsidRDefault="00AD3844">
      <w:pPr>
        <w:pStyle w:val="Sadraj2"/>
        <w:rPr>
          <w:rFonts w:eastAsiaTheme="minorEastAsia" w:cstheme="minorBidi"/>
          <w:b w:val="0"/>
          <w:bCs w:val="0"/>
          <w:noProof/>
          <w:kern w:val="2"/>
          <w:sz w:val="24"/>
          <w:szCs w:val="24"/>
          <w:lang w:val="hr-HR" w:eastAsia="hr-HR"/>
          <w14:ligatures w14:val="standardContextual"/>
        </w:rPr>
      </w:pPr>
      <w:hyperlink w:anchor="_Toc219232392" w:history="1">
        <w:r w:rsidR="00D0604D" w:rsidRPr="001F164A">
          <w:rPr>
            <w:rStyle w:val="Hiperveza"/>
            <w:rFonts w:eastAsiaTheme="majorEastAsia"/>
            <w:noProof/>
          </w:rPr>
          <w:t>1.1. H2CE project</w:t>
        </w:r>
        <w:r w:rsidR="00D0604D">
          <w:rPr>
            <w:noProof/>
            <w:webHidden/>
          </w:rPr>
          <w:tab/>
        </w:r>
        <w:r w:rsidR="00D0604D">
          <w:rPr>
            <w:noProof/>
            <w:webHidden/>
          </w:rPr>
          <w:fldChar w:fldCharType="begin"/>
        </w:r>
        <w:r w:rsidR="00D0604D">
          <w:rPr>
            <w:noProof/>
            <w:webHidden/>
          </w:rPr>
          <w:instrText xml:space="preserve"> PAGEREF _Toc219232392 \h </w:instrText>
        </w:r>
        <w:r w:rsidR="00D0604D">
          <w:rPr>
            <w:noProof/>
            <w:webHidden/>
          </w:rPr>
        </w:r>
        <w:r w:rsidR="00D0604D">
          <w:rPr>
            <w:noProof/>
            <w:webHidden/>
          </w:rPr>
          <w:fldChar w:fldCharType="separate"/>
        </w:r>
        <w:r w:rsidR="00D0604D">
          <w:rPr>
            <w:noProof/>
            <w:webHidden/>
          </w:rPr>
          <w:t>3</w:t>
        </w:r>
        <w:r w:rsidR="00D0604D">
          <w:rPr>
            <w:noProof/>
            <w:webHidden/>
          </w:rPr>
          <w:fldChar w:fldCharType="end"/>
        </w:r>
      </w:hyperlink>
    </w:p>
    <w:p w14:paraId="56203453" w14:textId="235CFB3F" w:rsidR="00D0604D" w:rsidRDefault="00AD3844">
      <w:pPr>
        <w:pStyle w:val="Sadraj2"/>
        <w:rPr>
          <w:rFonts w:eastAsiaTheme="minorEastAsia" w:cstheme="minorBidi"/>
          <w:b w:val="0"/>
          <w:bCs w:val="0"/>
          <w:noProof/>
          <w:kern w:val="2"/>
          <w:sz w:val="24"/>
          <w:szCs w:val="24"/>
          <w:lang w:val="hr-HR" w:eastAsia="hr-HR"/>
          <w14:ligatures w14:val="standardContextual"/>
        </w:rPr>
      </w:pPr>
      <w:hyperlink w:anchor="_Toc219232393" w:history="1">
        <w:r w:rsidR="00D0604D" w:rsidRPr="001F164A">
          <w:rPr>
            <w:rStyle w:val="Hiperveza"/>
            <w:rFonts w:eastAsia="Calibri"/>
            <w:noProof/>
            <w:lang w:val="en-AU"/>
          </w:rPr>
          <w:t>1.2. The Interregional Strategy</w:t>
        </w:r>
        <w:r w:rsidR="00D0604D">
          <w:rPr>
            <w:noProof/>
            <w:webHidden/>
          </w:rPr>
          <w:tab/>
        </w:r>
        <w:r w:rsidR="00D0604D">
          <w:rPr>
            <w:noProof/>
            <w:webHidden/>
          </w:rPr>
          <w:fldChar w:fldCharType="begin"/>
        </w:r>
        <w:r w:rsidR="00D0604D">
          <w:rPr>
            <w:noProof/>
            <w:webHidden/>
          </w:rPr>
          <w:instrText xml:space="preserve"> PAGEREF _Toc219232393 \h </w:instrText>
        </w:r>
        <w:r w:rsidR="00D0604D">
          <w:rPr>
            <w:noProof/>
            <w:webHidden/>
          </w:rPr>
        </w:r>
        <w:r w:rsidR="00D0604D">
          <w:rPr>
            <w:noProof/>
            <w:webHidden/>
          </w:rPr>
          <w:fldChar w:fldCharType="separate"/>
        </w:r>
        <w:r w:rsidR="00D0604D">
          <w:rPr>
            <w:noProof/>
            <w:webHidden/>
          </w:rPr>
          <w:t>5</w:t>
        </w:r>
        <w:r w:rsidR="00D0604D">
          <w:rPr>
            <w:noProof/>
            <w:webHidden/>
          </w:rPr>
          <w:fldChar w:fldCharType="end"/>
        </w:r>
      </w:hyperlink>
    </w:p>
    <w:p w14:paraId="2C8448D1" w14:textId="6D855DA6" w:rsidR="00D0604D" w:rsidRDefault="00AD3844">
      <w:pPr>
        <w:pStyle w:val="Sadraj2"/>
        <w:rPr>
          <w:rFonts w:eastAsiaTheme="minorEastAsia" w:cstheme="minorBidi"/>
          <w:b w:val="0"/>
          <w:bCs w:val="0"/>
          <w:noProof/>
          <w:kern w:val="2"/>
          <w:sz w:val="24"/>
          <w:szCs w:val="24"/>
          <w:lang w:val="hr-HR" w:eastAsia="hr-HR"/>
          <w14:ligatures w14:val="standardContextual"/>
        </w:rPr>
      </w:pPr>
      <w:hyperlink w:anchor="_Toc219232394" w:history="1">
        <w:r w:rsidR="00D0604D" w:rsidRPr="001F164A">
          <w:rPr>
            <w:rStyle w:val="Hiperveza"/>
            <w:rFonts w:eastAsia="Calibri"/>
            <w:noProof/>
            <w:lang w:val="en-AU"/>
          </w:rPr>
          <w:t>1.3. Methodology</w:t>
        </w:r>
        <w:r w:rsidR="00D0604D">
          <w:rPr>
            <w:noProof/>
            <w:webHidden/>
          </w:rPr>
          <w:tab/>
        </w:r>
        <w:r w:rsidR="00D0604D">
          <w:rPr>
            <w:noProof/>
            <w:webHidden/>
          </w:rPr>
          <w:fldChar w:fldCharType="begin"/>
        </w:r>
        <w:r w:rsidR="00D0604D">
          <w:rPr>
            <w:noProof/>
            <w:webHidden/>
          </w:rPr>
          <w:instrText xml:space="preserve"> PAGEREF _Toc219232394 \h </w:instrText>
        </w:r>
        <w:r w:rsidR="00D0604D">
          <w:rPr>
            <w:noProof/>
            <w:webHidden/>
          </w:rPr>
        </w:r>
        <w:r w:rsidR="00D0604D">
          <w:rPr>
            <w:noProof/>
            <w:webHidden/>
          </w:rPr>
          <w:fldChar w:fldCharType="separate"/>
        </w:r>
        <w:r w:rsidR="00D0604D">
          <w:rPr>
            <w:noProof/>
            <w:webHidden/>
          </w:rPr>
          <w:t>6</w:t>
        </w:r>
        <w:r w:rsidR="00D0604D">
          <w:rPr>
            <w:noProof/>
            <w:webHidden/>
          </w:rPr>
          <w:fldChar w:fldCharType="end"/>
        </w:r>
      </w:hyperlink>
    </w:p>
    <w:p w14:paraId="69EA4CA5" w14:textId="6A3D3788" w:rsidR="00D0604D" w:rsidRDefault="00AD3844">
      <w:pPr>
        <w:pStyle w:val="Sadraj2"/>
        <w:rPr>
          <w:rFonts w:eastAsiaTheme="minorEastAsia" w:cstheme="minorBidi"/>
          <w:b w:val="0"/>
          <w:bCs w:val="0"/>
          <w:noProof/>
          <w:kern w:val="2"/>
          <w:sz w:val="24"/>
          <w:szCs w:val="24"/>
          <w:lang w:val="hr-HR" w:eastAsia="hr-HR"/>
          <w14:ligatures w14:val="standardContextual"/>
        </w:rPr>
      </w:pPr>
      <w:hyperlink w:anchor="_Toc219232395" w:history="1">
        <w:r w:rsidR="00D0604D" w:rsidRPr="001F164A">
          <w:rPr>
            <w:rStyle w:val="Hiperveza"/>
            <w:rFonts w:eastAsia="Calibri"/>
            <w:noProof/>
          </w:rPr>
          <w:t>2. National fields of action for H2-ready regions</w:t>
        </w:r>
        <w:r w:rsidR="00D0604D">
          <w:rPr>
            <w:noProof/>
            <w:webHidden/>
          </w:rPr>
          <w:tab/>
        </w:r>
        <w:r w:rsidR="00D0604D">
          <w:rPr>
            <w:noProof/>
            <w:webHidden/>
          </w:rPr>
          <w:fldChar w:fldCharType="begin"/>
        </w:r>
        <w:r w:rsidR="00D0604D">
          <w:rPr>
            <w:noProof/>
            <w:webHidden/>
          </w:rPr>
          <w:instrText xml:space="preserve"> PAGEREF _Toc219232395 \h </w:instrText>
        </w:r>
        <w:r w:rsidR="00D0604D">
          <w:rPr>
            <w:noProof/>
            <w:webHidden/>
          </w:rPr>
        </w:r>
        <w:r w:rsidR="00D0604D">
          <w:rPr>
            <w:noProof/>
            <w:webHidden/>
          </w:rPr>
          <w:fldChar w:fldCharType="separate"/>
        </w:r>
        <w:r w:rsidR="00D0604D">
          <w:rPr>
            <w:noProof/>
            <w:webHidden/>
          </w:rPr>
          <w:t>8</w:t>
        </w:r>
        <w:r w:rsidR="00D0604D">
          <w:rPr>
            <w:noProof/>
            <w:webHidden/>
          </w:rPr>
          <w:fldChar w:fldCharType="end"/>
        </w:r>
      </w:hyperlink>
    </w:p>
    <w:p w14:paraId="5C8B4429" w14:textId="0B02F023" w:rsidR="00D0604D" w:rsidRDefault="00AD3844">
      <w:pPr>
        <w:pStyle w:val="Sadraj2"/>
        <w:rPr>
          <w:rFonts w:eastAsiaTheme="minorEastAsia" w:cstheme="minorBidi"/>
          <w:b w:val="0"/>
          <w:bCs w:val="0"/>
          <w:noProof/>
          <w:kern w:val="2"/>
          <w:sz w:val="24"/>
          <w:szCs w:val="24"/>
          <w:lang w:val="hr-HR" w:eastAsia="hr-HR"/>
          <w14:ligatures w14:val="standardContextual"/>
        </w:rPr>
      </w:pPr>
      <w:hyperlink w:anchor="_Toc219232396" w:history="1">
        <w:r w:rsidR="00D0604D" w:rsidRPr="001F164A">
          <w:rPr>
            <w:rStyle w:val="Hiperveza"/>
            <w:rFonts w:eastAsia="Calibri"/>
            <w:noProof/>
            <w:lang w:val="en-AU"/>
          </w:rPr>
          <w:t>2.1.</w:t>
        </w:r>
        <w:r w:rsidR="00D0604D" w:rsidRPr="001F164A">
          <w:rPr>
            <w:rStyle w:val="Hiperveza"/>
            <w:rFonts w:eastAsia="Calibri"/>
            <w:noProof/>
          </w:rPr>
          <w:t xml:space="preserve"> National vision and target-setting for Hydrogen in Croatia</w:t>
        </w:r>
        <w:r w:rsidR="00D0604D">
          <w:rPr>
            <w:noProof/>
            <w:webHidden/>
          </w:rPr>
          <w:tab/>
        </w:r>
        <w:r w:rsidR="00D0604D">
          <w:rPr>
            <w:noProof/>
            <w:webHidden/>
          </w:rPr>
          <w:fldChar w:fldCharType="begin"/>
        </w:r>
        <w:r w:rsidR="00D0604D">
          <w:rPr>
            <w:noProof/>
            <w:webHidden/>
          </w:rPr>
          <w:instrText xml:space="preserve"> PAGEREF _Toc219232396 \h </w:instrText>
        </w:r>
        <w:r w:rsidR="00D0604D">
          <w:rPr>
            <w:noProof/>
            <w:webHidden/>
          </w:rPr>
        </w:r>
        <w:r w:rsidR="00D0604D">
          <w:rPr>
            <w:noProof/>
            <w:webHidden/>
          </w:rPr>
          <w:fldChar w:fldCharType="separate"/>
        </w:r>
        <w:r w:rsidR="00D0604D">
          <w:rPr>
            <w:noProof/>
            <w:webHidden/>
          </w:rPr>
          <w:t>8</w:t>
        </w:r>
        <w:r w:rsidR="00D0604D">
          <w:rPr>
            <w:noProof/>
            <w:webHidden/>
          </w:rPr>
          <w:fldChar w:fldCharType="end"/>
        </w:r>
      </w:hyperlink>
    </w:p>
    <w:p w14:paraId="65C2BA26" w14:textId="7D004C94" w:rsidR="00D0604D" w:rsidRDefault="00AD3844">
      <w:pPr>
        <w:pStyle w:val="Sadraj2"/>
        <w:rPr>
          <w:rFonts w:eastAsiaTheme="minorEastAsia" w:cstheme="minorBidi"/>
          <w:b w:val="0"/>
          <w:bCs w:val="0"/>
          <w:noProof/>
          <w:kern w:val="2"/>
          <w:sz w:val="24"/>
          <w:szCs w:val="24"/>
          <w:lang w:val="hr-HR" w:eastAsia="hr-HR"/>
          <w14:ligatures w14:val="standardContextual"/>
        </w:rPr>
      </w:pPr>
      <w:hyperlink w:anchor="_Toc219232397" w:history="1">
        <w:r w:rsidR="00D0604D" w:rsidRPr="001F164A">
          <w:rPr>
            <w:rStyle w:val="Hiperveza"/>
            <w:rFonts w:eastAsia="Calibri"/>
            <w:noProof/>
            <w:lang w:val="en-AU"/>
          </w:rPr>
          <w:t>2.2.</w:t>
        </w:r>
        <w:r w:rsidR="00D0604D" w:rsidRPr="001F164A">
          <w:rPr>
            <w:rStyle w:val="Hiperveza"/>
            <w:rFonts w:eastAsia="Calibri"/>
            <w:noProof/>
          </w:rPr>
          <w:t xml:space="preserve"> Institutional and regulatory framework of the Republic of Croatia</w:t>
        </w:r>
        <w:r w:rsidR="00D0604D">
          <w:rPr>
            <w:noProof/>
            <w:webHidden/>
          </w:rPr>
          <w:tab/>
        </w:r>
        <w:r w:rsidR="00D0604D">
          <w:rPr>
            <w:noProof/>
            <w:webHidden/>
          </w:rPr>
          <w:fldChar w:fldCharType="begin"/>
        </w:r>
        <w:r w:rsidR="00D0604D">
          <w:rPr>
            <w:noProof/>
            <w:webHidden/>
          </w:rPr>
          <w:instrText xml:space="preserve"> PAGEREF _Toc219232397 \h </w:instrText>
        </w:r>
        <w:r w:rsidR="00D0604D">
          <w:rPr>
            <w:noProof/>
            <w:webHidden/>
          </w:rPr>
        </w:r>
        <w:r w:rsidR="00D0604D">
          <w:rPr>
            <w:noProof/>
            <w:webHidden/>
          </w:rPr>
          <w:fldChar w:fldCharType="separate"/>
        </w:r>
        <w:r w:rsidR="00D0604D">
          <w:rPr>
            <w:noProof/>
            <w:webHidden/>
          </w:rPr>
          <w:t>10</w:t>
        </w:r>
        <w:r w:rsidR="00D0604D">
          <w:rPr>
            <w:noProof/>
            <w:webHidden/>
          </w:rPr>
          <w:fldChar w:fldCharType="end"/>
        </w:r>
      </w:hyperlink>
    </w:p>
    <w:p w14:paraId="7A6C3B2A" w14:textId="40D9A299" w:rsidR="00D0604D" w:rsidRDefault="00AD3844">
      <w:pPr>
        <w:pStyle w:val="Sadraj2"/>
        <w:rPr>
          <w:rFonts w:eastAsiaTheme="minorEastAsia" w:cstheme="minorBidi"/>
          <w:b w:val="0"/>
          <w:bCs w:val="0"/>
          <w:noProof/>
          <w:kern w:val="2"/>
          <w:sz w:val="24"/>
          <w:szCs w:val="24"/>
          <w:lang w:val="hr-HR" w:eastAsia="hr-HR"/>
          <w14:ligatures w14:val="standardContextual"/>
        </w:rPr>
      </w:pPr>
      <w:hyperlink w:anchor="_Toc219232398" w:history="1">
        <w:r w:rsidR="00D0604D" w:rsidRPr="001F164A">
          <w:rPr>
            <w:rStyle w:val="Hiperveza"/>
            <w:rFonts w:eastAsia="Calibri"/>
            <w:noProof/>
            <w:lang w:val="en-AU"/>
          </w:rPr>
          <w:t>2.3.</w:t>
        </w:r>
        <w:r w:rsidR="00D0604D" w:rsidRPr="001F164A">
          <w:rPr>
            <w:rStyle w:val="Hiperveza"/>
            <w:rFonts w:eastAsia="Calibri"/>
            <w:noProof/>
          </w:rPr>
          <w:t xml:space="preserve"> Guidelines for the regulatory framework</w:t>
        </w:r>
        <w:r w:rsidR="00D0604D">
          <w:rPr>
            <w:noProof/>
            <w:webHidden/>
          </w:rPr>
          <w:tab/>
        </w:r>
        <w:r w:rsidR="00D0604D">
          <w:rPr>
            <w:noProof/>
            <w:webHidden/>
          </w:rPr>
          <w:fldChar w:fldCharType="begin"/>
        </w:r>
        <w:r w:rsidR="00D0604D">
          <w:rPr>
            <w:noProof/>
            <w:webHidden/>
          </w:rPr>
          <w:instrText xml:space="preserve"> PAGEREF _Toc219232398 \h </w:instrText>
        </w:r>
        <w:r w:rsidR="00D0604D">
          <w:rPr>
            <w:noProof/>
            <w:webHidden/>
          </w:rPr>
        </w:r>
        <w:r w:rsidR="00D0604D">
          <w:rPr>
            <w:noProof/>
            <w:webHidden/>
          </w:rPr>
          <w:fldChar w:fldCharType="separate"/>
        </w:r>
        <w:r w:rsidR="00D0604D">
          <w:rPr>
            <w:noProof/>
            <w:webHidden/>
          </w:rPr>
          <w:t>14</w:t>
        </w:r>
        <w:r w:rsidR="00D0604D">
          <w:rPr>
            <w:noProof/>
            <w:webHidden/>
          </w:rPr>
          <w:fldChar w:fldCharType="end"/>
        </w:r>
      </w:hyperlink>
    </w:p>
    <w:p w14:paraId="2526A1A9" w14:textId="3AADAE97" w:rsidR="00D0604D" w:rsidRDefault="00AD3844">
      <w:pPr>
        <w:pStyle w:val="Sadraj2"/>
        <w:rPr>
          <w:rFonts w:eastAsiaTheme="minorEastAsia" w:cstheme="minorBidi"/>
          <w:b w:val="0"/>
          <w:bCs w:val="0"/>
          <w:noProof/>
          <w:kern w:val="2"/>
          <w:sz w:val="24"/>
          <w:szCs w:val="24"/>
          <w:lang w:val="hr-HR" w:eastAsia="hr-HR"/>
          <w14:ligatures w14:val="standardContextual"/>
        </w:rPr>
      </w:pPr>
      <w:hyperlink w:anchor="_Toc219232399" w:history="1">
        <w:r w:rsidR="00D0604D" w:rsidRPr="001F164A">
          <w:rPr>
            <w:rStyle w:val="Hiperveza"/>
            <w:rFonts w:eastAsia="Calibri"/>
            <w:noProof/>
            <w:lang w:val="en-AU"/>
          </w:rPr>
          <w:t>2.4.</w:t>
        </w:r>
        <w:r w:rsidR="00D0604D" w:rsidRPr="001F164A">
          <w:rPr>
            <w:rStyle w:val="Hiperveza"/>
            <w:rFonts w:eastAsia="Calibri"/>
            <w:noProof/>
          </w:rPr>
          <w:t xml:space="preserve"> Stakeholder mapping for Hydrogen development in Croatia</w:t>
        </w:r>
        <w:r w:rsidR="00D0604D">
          <w:rPr>
            <w:noProof/>
            <w:webHidden/>
          </w:rPr>
          <w:tab/>
        </w:r>
        <w:r w:rsidR="00D0604D">
          <w:rPr>
            <w:noProof/>
            <w:webHidden/>
          </w:rPr>
          <w:fldChar w:fldCharType="begin"/>
        </w:r>
        <w:r w:rsidR="00D0604D">
          <w:rPr>
            <w:noProof/>
            <w:webHidden/>
          </w:rPr>
          <w:instrText xml:space="preserve"> PAGEREF _Toc219232399 \h </w:instrText>
        </w:r>
        <w:r w:rsidR="00D0604D">
          <w:rPr>
            <w:noProof/>
            <w:webHidden/>
          </w:rPr>
        </w:r>
        <w:r w:rsidR="00D0604D">
          <w:rPr>
            <w:noProof/>
            <w:webHidden/>
          </w:rPr>
          <w:fldChar w:fldCharType="separate"/>
        </w:r>
        <w:r w:rsidR="00D0604D">
          <w:rPr>
            <w:noProof/>
            <w:webHidden/>
          </w:rPr>
          <w:t>17</w:t>
        </w:r>
        <w:r w:rsidR="00D0604D">
          <w:rPr>
            <w:noProof/>
            <w:webHidden/>
          </w:rPr>
          <w:fldChar w:fldCharType="end"/>
        </w:r>
      </w:hyperlink>
    </w:p>
    <w:p w14:paraId="56149D58" w14:textId="581A386C" w:rsidR="00D0604D" w:rsidRDefault="00AD3844">
      <w:pPr>
        <w:pStyle w:val="Sadraj2"/>
        <w:rPr>
          <w:rFonts w:eastAsiaTheme="minorEastAsia" w:cstheme="minorBidi"/>
          <w:b w:val="0"/>
          <w:bCs w:val="0"/>
          <w:noProof/>
          <w:kern w:val="2"/>
          <w:sz w:val="24"/>
          <w:szCs w:val="24"/>
          <w:lang w:val="hr-HR" w:eastAsia="hr-HR"/>
          <w14:ligatures w14:val="standardContextual"/>
        </w:rPr>
      </w:pPr>
      <w:hyperlink w:anchor="_Toc219232400" w:history="1">
        <w:r w:rsidR="00D0604D" w:rsidRPr="001F164A">
          <w:rPr>
            <w:rStyle w:val="Hiperveza"/>
            <w:rFonts w:eastAsiaTheme="majorEastAsia"/>
            <w:noProof/>
          </w:rPr>
          <w:t>3. Interregional Hydrogen readiness in Croatia</w:t>
        </w:r>
        <w:r w:rsidR="00D0604D">
          <w:rPr>
            <w:noProof/>
            <w:webHidden/>
          </w:rPr>
          <w:tab/>
        </w:r>
        <w:r w:rsidR="00D0604D">
          <w:rPr>
            <w:noProof/>
            <w:webHidden/>
          </w:rPr>
          <w:fldChar w:fldCharType="begin"/>
        </w:r>
        <w:r w:rsidR="00D0604D">
          <w:rPr>
            <w:noProof/>
            <w:webHidden/>
          </w:rPr>
          <w:instrText xml:space="preserve"> PAGEREF _Toc219232400 \h </w:instrText>
        </w:r>
        <w:r w:rsidR="00D0604D">
          <w:rPr>
            <w:noProof/>
            <w:webHidden/>
          </w:rPr>
        </w:r>
        <w:r w:rsidR="00D0604D">
          <w:rPr>
            <w:noProof/>
            <w:webHidden/>
          </w:rPr>
          <w:fldChar w:fldCharType="separate"/>
        </w:r>
        <w:r w:rsidR="00D0604D">
          <w:rPr>
            <w:noProof/>
            <w:webHidden/>
          </w:rPr>
          <w:t>20</w:t>
        </w:r>
        <w:r w:rsidR="00D0604D">
          <w:rPr>
            <w:noProof/>
            <w:webHidden/>
          </w:rPr>
          <w:fldChar w:fldCharType="end"/>
        </w:r>
      </w:hyperlink>
    </w:p>
    <w:p w14:paraId="6FE527B6" w14:textId="15FC4F44" w:rsidR="00D0604D" w:rsidRDefault="00AD3844">
      <w:pPr>
        <w:pStyle w:val="Sadraj2"/>
        <w:rPr>
          <w:rFonts w:eastAsiaTheme="minorEastAsia" w:cstheme="minorBidi"/>
          <w:b w:val="0"/>
          <w:bCs w:val="0"/>
          <w:noProof/>
          <w:kern w:val="2"/>
          <w:sz w:val="24"/>
          <w:szCs w:val="24"/>
          <w:lang w:val="hr-HR" w:eastAsia="hr-HR"/>
          <w14:ligatures w14:val="standardContextual"/>
        </w:rPr>
      </w:pPr>
      <w:hyperlink w:anchor="_Toc219232401" w:history="1">
        <w:r w:rsidR="00D0604D" w:rsidRPr="001F164A">
          <w:rPr>
            <w:rStyle w:val="Hiperveza"/>
            <w:rFonts w:eastAsiaTheme="majorEastAsia"/>
            <w:noProof/>
          </w:rPr>
          <w:t>3.1. Identification of regions with the highest potential</w:t>
        </w:r>
        <w:r w:rsidR="00D0604D">
          <w:rPr>
            <w:noProof/>
            <w:webHidden/>
          </w:rPr>
          <w:tab/>
        </w:r>
        <w:r w:rsidR="00D0604D">
          <w:rPr>
            <w:noProof/>
            <w:webHidden/>
          </w:rPr>
          <w:fldChar w:fldCharType="begin"/>
        </w:r>
        <w:r w:rsidR="00D0604D">
          <w:rPr>
            <w:noProof/>
            <w:webHidden/>
          </w:rPr>
          <w:instrText xml:space="preserve"> PAGEREF _Toc219232401 \h </w:instrText>
        </w:r>
        <w:r w:rsidR="00D0604D">
          <w:rPr>
            <w:noProof/>
            <w:webHidden/>
          </w:rPr>
        </w:r>
        <w:r w:rsidR="00D0604D">
          <w:rPr>
            <w:noProof/>
            <w:webHidden/>
          </w:rPr>
          <w:fldChar w:fldCharType="separate"/>
        </w:r>
        <w:r w:rsidR="00D0604D">
          <w:rPr>
            <w:noProof/>
            <w:webHidden/>
          </w:rPr>
          <w:t>20</w:t>
        </w:r>
        <w:r w:rsidR="00D0604D">
          <w:rPr>
            <w:noProof/>
            <w:webHidden/>
          </w:rPr>
          <w:fldChar w:fldCharType="end"/>
        </w:r>
      </w:hyperlink>
    </w:p>
    <w:p w14:paraId="45315CCA" w14:textId="5178EA98" w:rsidR="00D0604D" w:rsidRDefault="00AD3844">
      <w:pPr>
        <w:pStyle w:val="Sadraj2"/>
        <w:rPr>
          <w:rFonts w:eastAsiaTheme="minorEastAsia" w:cstheme="minorBidi"/>
          <w:b w:val="0"/>
          <w:bCs w:val="0"/>
          <w:noProof/>
          <w:kern w:val="2"/>
          <w:sz w:val="24"/>
          <w:szCs w:val="24"/>
          <w:lang w:val="hr-HR" w:eastAsia="hr-HR"/>
          <w14:ligatures w14:val="standardContextual"/>
        </w:rPr>
      </w:pPr>
      <w:hyperlink w:anchor="_Toc219232402" w:history="1">
        <w:r w:rsidR="00D0604D" w:rsidRPr="001F164A">
          <w:rPr>
            <w:rStyle w:val="Hiperveza"/>
            <w:rFonts w:eastAsiaTheme="majorEastAsia"/>
            <w:noProof/>
          </w:rPr>
          <w:t>3.1.1. Nort-west region</w:t>
        </w:r>
        <w:r w:rsidR="00D0604D">
          <w:rPr>
            <w:noProof/>
            <w:webHidden/>
          </w:rPr>
          <w:tab/>
        </w:r>
        <w:r w:rsidR="00D0604D">
          <w:rPr>
            <w:noProof/>
            <w:webHidden/>
          </w:rPr>
          <w:fldChar w:fldCharType="begin"/>
        </w:r>
        <w:r w:rsidR="00D0604D">
          <w:rPr>
            <w:noProof/>
            <w:webHidden/>
          </w:rPr>
          <w:instrText xml:space="preserve"> PAGEREF _Toc219232402 \h </w:instrText>
        </w:r>
        <w:r w:rsidR="00D0604D">
          <w:rPr>
            <w:noProof/>
            <w:webHidden/>
          </w:rPr>
        </w:r>
        <w:r w:rsidR="00D0604D">
          <w:rPr>
            <w:noProof/>
            <w:webHidden/>
          </w:rPr>
          <w:fldChar w:fldCharType="separate"/>
        </w:r>
        <w:r w:rsidR="00D0604D">
          <w:rPr>
            <w:noProof/>
            <w:webHidden/>
          </w:rPr>
          <w:t>22</w:t>
        </w:r>
        <w:r w:rsidR="00D0604D">
          <w:rPr>
            <w:noProof/>
            <w:webHidden/>
          </w:rPr>
          <w:fldChar w:fldCharType="end"/>
        </w:r>
      </w:hyperlink>
    </w:p>
    <w:p w14:paraId="11C18BF9" w14:textId="12326843" w:rsidR="00D0604D" w:rsidRDefault="00AD3844">
      <w:pPr>
        <w:pStyle w:val="Sadraj2"/>
        <w:rPr>
          <w:rFonts w:eastAsiaTheme="minorEastAsia" w:cstheme="minorBidi"/>
          <w:b w:val="0"/>
          <w:bCs w:val="0"/>
          <w:noProof/>
          <w:kern w:val="2"/>
          <w:sz w:val="24"/>
          <w:szCs w:val="24"/>
          <w:lang w:val="hr-HR" w:eastAsia="hr-HR"/>
          <w14:ligatures w14:val="standardContextual"/>
        </w:rPr>
      </w:pPr>
      <w:hyperlink w:anchor="_Toc219232403" w:history="1">
        <w:r w:rsidR="00D0604D" w:rsidRPr="001F164A">
          <w:rPr>
            <w:rStyle w:val="Hiperveza"/>
            <w:rFonts w:eastAsiaTheme="majorEastAsia"/>
            <w:noProof/>
          </w:rPr>
          <w:t>3.1.2. Northern Adriatic</w:t>
        </w:r>
        <w:r w:rsidR="00D0604D">
          <w:rPr>
            <w:noProof/>
            <w:webHidden/>
          </w:rPr>
          <w:tab/>
        </w:r>
        <w:r w:rsidR="00D0604D">
          <w:rPr>
            <w:noProof/>
            <w:webHidden/>
          </w:rPr>
          <w:fldChar w:fldCharType="begin"/>
        </w:r>
        <w:r w:rsidR="00D0604D">
          <w:rPr>
            <w:noProof/>
            <w:webHidden/>
          </w:rPr>
          <w:instrText xml:space="preserve"> PAGEREF _Toc219232403 \h </w:instrText>
        </w:r>
        <w:r w:rsidR="00D0604D">
          <w:rPr>
            <w:noProof/>
            <w:webHidden/>
          </w:rPr>
        </w:r>
        <w:r w:rsidR="00D0604D">
          <w:rPr>
            <w:noProof/>
            <w:webHidden/>
          </w:rPr>
          <w:fldChar w:fldCharType="separate"/>
        </w:r>
        <w:r w:rsidR="00D0604D">
          <w:rPr>
            <w:noProof/>
            <w:webHidden/>
          </w:rPr>
          <w:t>23</w:t>
        </w:r>
        <w:r w:rsidR="00D0604D">
          <w:rPr>
            <w:noProof/>
            <w:webHidden/>
          </w:rPr>
          <w:fldChar w:fldCharType="end"/>
        </w:r>
      </w:hyperlink>
    </w:p>
    <w:p w14:paraId="49239A16" w14:textId="6D735697" w:rsidR="00D0604D" w:rsidRDefault="00AD3844">
      <w:pPr>
        <w:pStyle w:val="Sadraj2"/>
        <w:rPr>
          <w:rFonts w:eastAsiaTheme="minorEastAsia" w:cstheme="minorBidi"/>
          <w:b w:val="0"/>
          <w:bCs w:val="0"/>
          <w:noProof/>
          <w:kern w:val="2"/>
          <w:sz w:val="24"/>
          <w:szCs w:val="24"/>
          <w:lang w:val="hr-HR" w:eastAsia="hr-HR"/>
          <w14:ligatures w14:val="standardContextual"/>
        </w:rPr>
      </w:pPr>
      <w:hyperlink w:anchor="_Toc219232404" w:history="1">
        <w:r w:rsidR="00D0604D" w:rsidRPr="001F164A">
          <w:rPr>
            <w:rStyle w:val="Hiperveza"/>
            <w:rFonts w:eastAsiaTheme="majorEastAsia"/>
            <w:noProof/>
          </w:rPr>
          <w:t>3.2. Hydrogen production in identified regions</w:t>
        </w:r>
        <w:r w:rsidR="00D0604D">
          <w:rPr>
            <w:noProof/>
            <w:webHidden/>
          </w:rPr>
          <w:tab/>
        </w:r>
        <w:r w:rsidR="00D0604D">
          <w:rPr>
            <w:noProof/>
            <w:webHidden/>
          </w:rPr>
          <w:fldChar w:fldCharType="begin"/>
        </w:r>
        <w:r w:rsidR="00D0604D">
          <w:rPr>
            <w:noProof/>
            <w:webHidden/>
          </w:rPr>
          <w:instrText xml:space="preserve"> PAGEREF _Toc219232404 \h </w:instrText>
        </w:r>
        <w:r w:rsidR="00D0604D">
          <w:rPr>
            <w:noProof/>
            <w:webHidden/>
          </w:rPr>
        </w:r>
        <w:r w:rsidR="00D0604D">
          <w:rPr>
            <w:noProof/>
            <w:webHidden/>
          </w:rPr>
          <w:fldChar w:fldCharType="separate"/>
        </w:r>
        <w:r w:rsidR="00D0604D">
          <w:rPr>
            <w:noProof/>
            <w:webHidden/>
          </w:rPr>
          <w:t>24</w:t>
        </w:r>
        <w:r w:rsidR="00D0604D">
          <w:rPr>
            <w:noProof/>
            <w:webHidden/>
          </w:rPr>
          <w:fldChar w:fldCharType="end"/>
        </w:r>
      </w:hyperlink>
    </w:p>
    <w:p w14:paraId="75DB1488" w14:textId="0154CFCE" w:rsidR="00D0604D" w:rsidRDefault="00AD3844">
      <w:pPr>
        <w:pStyle w:val="Sadraj2"/>
        <w:rPr>
          <w:rFonts w:eastAsiaTheme="minorEastAsia" w:cstheme="minorBidi"/>
          <w:b w:val="0"/>
          <w:bCs w:val="0"/>
          <w:noProof/>
          <w:kern w:val="2"/>
          <w:sz w:val="24"/>
          <w:szCs w:val="24"/>
          <w:lang w:val="hr-HR" w:eastAsia="hr-HR"/>
          <w14:ligatures w14:val="standardContextual"/>
        </w:rPr>
      </w:pPr>
      <w:hyperlink w:anchor="_Toc219232405" w:history="1">
        <w:r w:rsidR="00D0604D" w:rsidRPr="001F164A">
          <w:rPr>
            <w:rStyle w:val="Hiperveza"/>
            <w:rFonts w:eastAsiaTheme="majorEastAsia"/>
            <w:noProof/>
          </w:rPr>
          <w:t>3.2.1 North-West Region</w:t>
        </w:r>
        <w:r w:rsidR="00D0604D">
          <w:rPr>
            <w:noProof/>
            <w:webHidden/>
          </w:rPr>
          <w:tab/>
        </w:r>
        <w:r w:rsidR="00D0604D">
          <w:rPr>
            <w:noProof/>
            <w:webHidden/>
          </w:rPr>
          <w:fldChar w:fldCharType="begin"/>
        </w:r>
        <w:r w:rsidR="00D0604D">
          <w:rPr>
            <w:noProof/>
            <w:webHidden/>
          </w:rPr>
          <w:instrText xml:space="preserve"> PAGEREF _Toc219232405 \h </w:instrText>
        </w:r>
        <w:r w:rsidR="00D0604D">
          <w:rPr>
            <w:noProof/>
            <w:webHidden/>
          </w:rPr>
        </w:r>
        <w:r w:rsidR="00D0604D">
          <w:rPr>
            <w:noProof/>
            <w:webHidden/>
          </w:rPr>
          <w:fldChar w:fldCharType="separate"/>
        </w:r>
        <w:r w:rsidR="00D0604D">
          <w:rPr>
            <w:noProof/>
            <w:webHidden/>
          </w:rPr>
          <w:t>24</w:t>
        </w:r>
        <w:r w:rsidR="00D0604D">
          <w:rPr>
            <w:noProof/>
            <w:webHidden/>
          </w:rPr>
          <w:fldChar w:fldCharType="end"/>
        </w:r>
      </w:hyperlink>
    </w:p>
    <w:p w14:paraId="70AF9DBD" w14:textId="083F3F8E" w:rsidR="00D0604D" w:rsidRDefault="00AD3844">
      <w:pPr>
        <w:pStyle w:val="Sadraj2"/>
        <w:rPr>
          <w:rFonts w:eastAsiaTheme="minorEastAsia" w:cstheme="minorBidi"/>
          <w:b w:val="0"/>
          <w:bCs w:val="0"/>
          <w:noProof/>
          <w:kern w:val="2"/>
          <w:sz w:val="24"/>
          <w:szCs w:val="24"/>
          <w:lang w:val="hr-HR" w:eastAsia="hr-HR"/>
          <w14:ligatures w14:val="standardContextual"/>
        </w:rPr>
      </w:pPr>
      <w:hyperlink w:anchor="_Toc219232406" w:history="1">
        <w:r w:rsidR="00D0604D" w:rsidRPr="001F164A">
          <w:rPr>
            <w:rStyle w:val="Hiperveza"/>
            <w:rFonts w:eastAsiaTheme="majorEastAsia"/>
            <w:noProof/>
          </w:rPr>
          <w:t>3.2.2 Northern Adriatic Region</w:t>
        </w:r>
        <w:r w:rsidR="00D0604D">
          <w:rPr>
            <w:noProof/>
            <w:webHidden/>
          </w:rPr>
          <w:tab/>
        </w:r>
        <w:r w:rsidR="00D0604D">
          <w:rPr>
            <w:noProof/>
            <w:webHidden/>
          </w:rPr>
          <w:fldChar w:fldCharType="begin"/>
        </w:r>
        <w:r w:rsidR="00D0604D">
          <w:rPr>
            <w:noProof/>
            <w:webHidden/>
          </w:rPr>
          <w:instrText xml:space="preserve"> PAGEREF _Toc219232406 \h </w:instrText>
        </w:r>
        <w:r w:rsidR="00D0604D">
          <w:rPr>
            <w:noProof/>
            <w:webHidden/>
          </w:rPr>
        </w:r>
        <w:r w:rsidR="00D0604D">
          <w:rPr>
            <w:noProof/>
            <w:webHidden/>
          </w:rPr>
          <w:fldChar w:fldCharType="separate"/>
        </w:r>
        <w:r w:rsidR="00D0604D">
          <w:rPr>
            <w:noProof/>
            <w:webHidden/>
          </w:rPr>
          <w:t>25</w:t>
        </w:r>
        <w:r w:rsidR="00D0604D">
          <w:rPr>
            <w:noProof/>
            <w:webHidden/>
          </w:rPr>
          <w:fldChar w:fldCharType="end"/>
        </w:r>
      </w:hyperlink>
    </w:p>
    <w:p w14:paraId="1C435113" w14:textId="2C2FC06F" w:rsidR="00D0604D" w:rsidRDefault="00AD3844">
      <w:pPr>
        <w:pStyle w:val="Sadraj2"/>
        <w:rPr>
          <w:rFonts w:eastAsiaTheme="minorEastAsia" w:cstheme="minorBidi"/>
          <w:b w:val="0"/>
          <w:bCs w:val="0"/>
          <w:noProof/>
          <w:kern w:val="2"/>
          <w:sz w:val="24"/>
          <w:szCs w:val="24"/>
          <w:lang w:val="hr-HR" w:eastAsia="hr-HR"/>
          <w14:ligatures w14:val="standardContextual"/>
        </w:rPr>
      </w:pPr>
      <w:hyperlink w:anchor="_Toc219232407" w:history="1">
        <w:r w:rsidR="00D0604D" w:rsidRPr="001F164A">
          <w:rPr>
            <w:rStyle w:val="Hiperveza"/>
            <w:rFonts w:eastAsiaTheme="majorEastAsia"/>
            <w:noProof/>
          </w:rPr>
          <w:t>3.3. Potential uses of Hydrogen in identified regions</w:t>
        </w:r>
        <w:r w:rsidR="00D0604D">
          <w:rPr>
            <w:noProof/>
            <w:webHidden/>
          </w:rPr>
          <w:tab/>
        </w:r>
        <w:r w:rsidR="00D0604D">
          <w:rPr>
            <w:noProof/>
            <w:webHidden/>
          </w:rPr>
          <w:fldChar w:fldCharType="begin"/>
        </w:r>
        <w:r w:rsidR="00D0604D">
          <w:rPr>
            <w:noProof/>
            <w:webHidden/>
          </w:rPr>
          <w:instrText xml:space="preserve"> PAGEREF _Toc219232407 \h </w:instrText>
        </w:r>
        <w:r w:rsidR="00D0604D">
          <w:rPr>
            <w:noProof/>
            <w:webHidden/>
          </w:rPr>
        </w:r>
        <w:r w:rsidR="00D0604D">
          <w:rPr>
            <w:noProof/>
            <w:webHidden/>
          </w:rPr>
          <w:fldChar w:fldCharType="separate"/>
        </w:r>
        <w:r w:rsidR="00D0604D">
          <w:rPr>
            <w:noProof/>
            <w:webHidden/>
          </w:rPr>
          <w:t>25</w:t>
        </w:r>
        <w:r w:rsidR="00D0604D">
          <w:rPr>
            <w:noProof/>
            <w:webHidden/>
          </w:rPr>
          <w:fldChar w:fldCharType="end"/>
        </w:r>
      </w:hyperlink>
    </w:p>
    <w:p w14:paraId="5D8A11A7" w14:textId="02FC9C26" w:rsidR="00D0604D" w:rsidRDefault="00AD3844">
      <w:pPr>
        <w:pStyle w:val="Sadraj2"/>
        <w:rPr>
          <w:rFonts w:eastAsiaTheme="minorEastAsia" w:cstheme="minorBidi"/>
          <w:b w:val="0"/>
          <w:bCs w:val="0"/>
          <w:noProof/>
          <w:kern w:val="2"/>
          <w:sz w:val="24"/>
          <w:szCs w:val="24"/>
          <w:lang w:val="hr-HR" w:eastAsia="hr-HR"/>
          <w14:ligatures w14:val="standardContextual"/>
        </w:rPr>
      </w:pPr>
      <w:hyperlink w:anchor="_Toc219232408" w:history="1">
        <w:r w:rsidR="00D0604D" w:rsidRPr="001F164A">
          <w:rPr>
            <w:rStyle w:val="Hiperveza"/>
            <w:rFonts w:eastAsiaTheme="majorEastAsia"/>
            <w:noProof/>
          </w:rPr>
          <w:t>3.3.1 North-West Region</w:t>
        </w:r>
        <w:r w:rsidR="00D0604D">
          <w:rPr>
            <w:noProof/>
            <w:webHidden/>
          </w:rPr>
          <w:tab/>
        </w:r>
        <w:r w:rsidR="00D0604D">
          <w:rPr>
            <w:noProof/>
            <w:webHidden/>
          </w:rPr>
          <w:fldChar w:fldCharType="begin"/>
        </w:r>
        <w:r w:rsidR="00D0604D">
          <w:rPr>
            <w:noProof/>
            <w:webHidden/>
          </w:rPr>
          <w:instrText xml:space="preserve"> PAGEREF _Toc219232408 \h </w:instrText>
        </w:r>
        <w:r w:rsidR="00D0604D">
          <w:rPr>
            <w:noProof/>
            <w:webHidden/>
          </w:rPr>
        </w:r>
        <w:r w:rsidR="00D0604D">
          <w:rPr>
            <w:noProof/>
            <w:webHidden/>
          </w:rPr>
          <w:fldChar w:fldCharType="separate"/>
        </w:r>
        <w:r w:rsidR="00D0604D">
          <w:rPr>
            <w:noProof/>
            <w:webHidden/>
          </w:rPr>
          <w:t>26</w:t>
        </w:r>
        <w:r w:rsidR="00D0604D">
          <w:rPr>
            <w:noProof/>
            <w:webHidden/>
          </w:rPr>
          <w:fldChar w:fldCharType="end"/>
        </w:r>
      </w:hyperlink>
    </w:p>
    <w:p w14:paraId="14D42603" w14:textId="648F2820" w:rsidR="00D0604D" w:rsidRDefault="00AD3844">
      <w:pPr>
        <w:pStyle w:val="Sadraj2"/>
        <w:rPr>
          <w:rFonts w:eastAsiaTheme="minorEastAsia" w:cstheme="minorBidi"/>
          <w:b w:val="0"/>
          <w:bCs w:val="0"/>
          <w:noProof/>
          <w:kern w:val="2"/>
          <w:sz w:val="24"/>
          <w:szCs w:val="24"/>
          <w:lang w:val="hr-HR" w:eastAsia="hr-HR"/>
          <w14:ligatures w14:val="standardContextual"/>
        </w:rPr>
      </w:pPr>
      <w:hyperlink w:anchor="_Toc219232409" w:history="1">
        <w:r w:rsidR="00D0604D" w:rsidRPr="001F164A">
          <w:rPr>
            <w:rStyle w:val="Hiperveza"/>
            <w:rFonts w:eastAsiaTheme="majorEastAsia"/>
            <w:noProof/>
          </w:rPr>
          <w:t>3.3.2 Northern Adriatic Region</w:t>
        </w:r>
        <w:r w:rsidR="00D0604D">
          <w:rPr>
            <w:noProof/>
            <w:webHidden/>
          </w:rPr>
          <w:tab/>
        </w:r>
        <w:r w:rsidR="00D0604D">
          <w:rPr>
            <w:noProof/>
            <w:webHidden/>
          </w:rPr>
          <w:fldChar w:fldCharType="begin"/>
        </w:r>
        <w:r w:rsidR="00D0604D">
          <w:rPr>
            <w:noProof/>
            <w:webHidden/>
          </w:rPr>
          <w:instrText xml:space="preserve"> PAGEREF _Toc219232409 \h </w:instrText>
        </w:r>
        <w:r w:rsidR="00D0604D">
          <w:rPr>
            <w:noProof/>
            <w:webHidden/>
          </w:rPr>
        </w:r>
        <w:r w:rsidR="00D0604D">
          <w:rPr>
            <w:noProof/>
            <w:webHidden/>
          </w:rPr>
          <w:fldChar w:fldCharType="separate"/>
        </w:r>
        <w:r w:rsidR="00D0604D">
          <w:rPr>
            <w:noProof/>
            <w:webHidden/>
          </w:rPr>
          <w:t>26</w:t>
        </w:r>
        <w:r w:rsidR="00D0604D">
          <w:rPr>
            <w:noProof/>
            <w:webHidden/>
          </w:rPr>
          <w:fldChar w:fldCharType="end"/>
        </w:r>
      </w:hyperlink>
    </w:p>
    <w:p w14:paraId="29C2FB9C" w14:textId="0F4F793D" w:rsidR="00D0604D" w:rsidRDefault="00AD3844">
      <w:pPr>
        <w:pStyle w:val="Sadraj2"/>
        <w:rPr>
          <w:rFonts w:eastAsiaTheme="minorEastAsia" w:cstheme="minorBidi"/>
          <w:b w:val="0"/>
          <w:bCs w:val="0"/>
          <w:noProof/>
          <w:kern w:val="2"/>
          <w:sz w:val="24"/>
          <w:szCs w:val="24"/>
          <w:lang w:val="hr-HR" w:eastAsia="hr-HR"/>
          <w14:ligatures w14:val="standardContextual"/>
        </w:rPr>
      </w:pPr>
      <w:hyperlink w:anchor="_Toc219232410" w:history="1">
        <w:r w:rsidR="00D0604D" w:rsidRPr="001F164A">
          <w:rPr>
            <w:rStyle w:val="Hiperveza"/>
            <w:rFonts w:eastAsiaTheme="majorEastAsia"/>
            <w:noProof/>
          </w:rPr>
          <w:t>3.4.</w:t>
        </w:r>
        <w:r w:rsidR="00D0604D" w:rsidRPr="001F164A">
          <w:rPr>
            <w:rStyle w:val="Hiperveza"/>
            <w:rFonts w:eastAsia="Calibri"/>
            <w:noProof/>
          </w:rPr>
          <w:t xml:space="preserve"> Action Plan for leveraging existing infrastructure and expanding Hydrogen networks</w:t>
        </w:r>
        <w:r w:rsidR="00D0604D">
          <w:rPr>
            <w:noProof/>
            <w:webHidden/>
          </w:rPr>
          <w:tab/>
        </w:r>
        <w:r w:rsidR="00D0604D">
          <w:rPr>
            <w:noProof/>
            <w:webHidden/>
          </w:rPr>
          <w:fldChar w:fldCharType="begin"/>
        </w:r>
        <w:r w:rsidR="00D0604D">
          <w:rPr>
            <w:noProof/>
            <w:webHidden/>
          </w:rPr>
          <w:instrText xml:space="preserve"> PAGEREF _Toc219232410 \h </w:instrText>
        </w:r>
        <w:r w:rsidR="00D0604D">
          <w:rPr>
            <w:noProof/>
            <w:webHidden/>
          </w:rPr>
        </w:r>
        <w:r w:rsidR="00D0604D">
          <w:rPr>
            <w:noProof/>
            <w:webHidden/>
          </w:rPr>
          <w:fldChar w:fldCharType="separate"/>
        </w:r>
        <w:r w:rsidR="00D0604D">
          <w:rPr>
            <w:noProof/>
            <w:webHidden/>
          </w:rPr>
          <w:t>27</w:t>
        </w:r>
        <w:r w:rsidR="00D0604D">
          <w:rPr>
            <w:noProof/>
            <w:webHidden/>
          </w:rPr>
          <w:fldChar w:fldCharType="end"/>
        </w:r>
      </w:hyperlink>
    </w:p>
    <w:p w14:paraId="383B6431" w14:textId="27F8C38E" w:rsidR="00D0604D" w:rsidRDefault="00AD3844">
      <w:pPr>
        <w:pStyle w:val="Sadraj2"/>
        <w:rPr>
          <w:rFonts w:eastAsiaTheme="minorEastAsia" w:cstheme="minorBidi"/>
          <w:b w:val="0"/>
          <w:bCs w:val="0"/>
          <w:noProof/>
          <w:kern w:val="2"/>
          <w:sz w:val="24"/>
          <w:szCs w:val="24"/>
          <w:lang w:val="hr-HR" w:eastAsia="hr-HR"/>
          <w14:ligatures w14:val="standardContextual"/>
        </w:rPr>
      </w:pPr>
      <w:hyperlink w:anchor="_Toc219232411" w:history="1">
        <w:r w:rsidR="00D0604D" w:rsidRPr="001F164A">
          <w:rPr>
            <w:rStyle w:val="Hiperveza"/>
            <w:rFonts w:eastAsiaTheme="majorEastAsia"/>
            <w:noProof/>
          </w:rPr>
          <w:t>3.5.</w:t>
        </w:r>
        <w:r w:rsidR="00D0604D" w:rsidRPr="001F164A">
          <w:rPr>
            <w:rStyle w:val="Hiperveza"/>
            <w:rFonts w:eastAsia="Calibri"/>
            <w:noProof/>
          </w:rPr>
          <w:t xml:space="preserve"> Measures to support regional Hydrogen development</w:t>
        </w:r>
        <w:r w:rsidR="00D0604D">
          <w:rPr>
            <w:noProof/>
            <w:webHidden/>
          </w:rPr>
          <w:tab/>
        </w:r>
        <w:r w:rsidR="00D0604D">
          <w:rPr>
            <w:noProof/>
            <w:webHidden/>
          </w:rPr>
          <w:fldChar w:fldCharType="begin"/>
        </w:r>
        <w:r w:rsidR="00D0604D">
          <w:rPr>
            <w:noProof/>
            <w:webHidden/>
          </w:rPr>
          <w:instrText xml:space="preserve"> PAGEREF _Toc219232411 \h </w:instrText>
        </w:r>
        <w:r w:rsidR="00D0604D">
          <w:rPr>
            <w:noProof/>
            <w:webHidden/>
          </w:rPr>
        </w:r>
        <w:r w:rsidR="00D0604D">
          <w:rPr>
            <w:noProof/>
            <w:webHidden/>
          </w:rPr>
          <w:fldChar w:fldCharType="separate"/>
        </w:r>
        <w:r w:rsidR="00D0604D">
          <w:rPr>
            <w:noProof/>
            <w:webHidden/>
          </w:rPr>
          <w:t>28</w:t>
        </w:r>
        <w:r w:rsidR="00D0604D">
          <w:rPr>
            <w:noProof/>
            <w:webHidden/>
          </w:rPr>
          <w:fldChar w:fldCharType="end"/>
        </w:r>
      </w:hyperlink>
    </w:p>
    <w:p w14:paraId="597F8171" w14:textId="0A057513" w:rsidR="00D0604D" w:rsidRDefault="00AD3844">
      <w:pPr>
        <w:pStyle w:val="Sadraj2"/>
        <w:rPr>
          <w:rFonts w:eastAsiaTheme="minorEastAsia" w:cstheme="minorBidi"/>
          <w:b w:val="0"/>
          <w:bCs w:val="0"/>
          <w:noProof/>
          <w:kern w:val="2"/>
          <w:sz w:val="24"/>
          <w:szCs w:val="24"/>
          <w:lang w:val="hr-HR" w:eastAsia="hr-HR"/>
          <w14:ligatures w14:val="standardContextual"/>
        </w:rPr>
      </w:pPr>
      <w:hyperlink w:anchor="_Toc219232412" w:history="1">
        <w:r w:rsidR="00D0604D" w:rsidRPr="001F164A">
          <w:rPr>
            <w:rStyle w:val="Hiperveza"/>
            <w:rFonts w:eastAsia="Calibri"/>
            <w:noProof/>
            <w:lang w:val="en-AU"/>
          </w:rPr>
          <w:t>3.5.1 North-West Region</w:t>
        </w:r>
        <w:r w:rsidR="00D0604D">
          <w:rPr>
            <w:noProof/>
            <w:webHidden/>
          </w:rPr>
          <w:tab/>
        </w:r>
        <w:r w:rsidR="00D0604D">
          <w:rPr>
            <w:noProof/>
            <w:webHidden/>
          </w:rPr>
          <w:fldChar w:fldCharType="begin"/>
        </w:r>
        <w:r w:rsidR="00D0604D">
          <w:rPr>
            <w:noProof/>
            <w:webHidden/>
          </w:rPr>
          <w:instrText xml:space="preserve"> PAGEREF _Toc219232412 \h </w:instrText>
        </w:r>
        <w:r w:rsidR="00D0604D">
          <w:rPr>
            <w:noProof/>
            <w:webHidden/>
          </w:rPr>
        </w:r>
        <w:r w:rsidR="00D0604D">
          <w:rPr>
            <w:noProof/>
            <w:webHidden/>
          </w:rPr>
          <w:fldChar w:fldCharType="separate"/>
        </w:r>
        <w:r w:rsidR="00D0604D">
          <w:rPr>
            <w:noProof/>
            <w:webHidden/>
          </w:rPr>
          <w:t>29</w:t>
        </w:r>
        <w:r w:rsidR="00D0604D">
          <w:rPr>
            <w:noProof/>
            <w:webHidden/>
          </w:rPr>
          <w:fldChar w:fldCharType="end"/>
        </w:r>
      </w:hyperlink>
    </w:p>
    <w:p w14:paraId="0B95BD7F" w14:textId="6D55E960" w:rsidR="00D0604D" w:rsidRDefault="00AD3844">
      <w:pPr>
        <w:pStyle w:val="Sadraj2"/>
        <w:rPr>
          <w:rFonts w:eastAsiaTheme="minorEastAsia" w:cstheme="minorBidi"/>
          <w:b w:val="0"/>
          <w:bCs w:val="0"/>
          <w:noProof/>
          <w:kern w:val="2"/>
          <w:sz w:val="24"/>
          <w:szCs w:val="24"/>
          <w:lang w:val="hr-HR" w:eastAsia="hr-HR"/>
          <w14:ligatures w14:val="standardContextual"/>
        </w:rPr>
      </w:pPr>
      <w:hyperlink w:anchor="_Toc219232413" w:history="1">
        <w:r w:rsidR="00D0604D" w:rsidRPr="001F164A">
          <w:rPr>
            <w:rStyle w:val="Hiperveza"/>
            <w:rFonts w:eastAsia="Calibri"/>
            <w:noProof/>
            <w:lang w:val="en-AU"/>
          </w:rPr>
          <w:t>3.5.2 Northern Adriatic Region</w:t>
        </w:r>
        <w:r w:rsidR="00D0604D">
          <w:rPr>
            <w:noProof/>
            <w:webHidden/>
          </w:rPr>
          <w:tab/>
        </w:r>
        <w:r w:rsidR="00D0604D">
          <w:rPr>
            <w:noProof/>
            <w:webHidden/>
          </w:rPr>
          <w:fldChar w:fldCharType="begin"/>
        </w:r>
        <w:r w:rsidR="00D0604D">
          <w:rPr>
            <w:noProof/>
            <w:webHidden/>
          </w:rPr>
          <w:instrText xml:space="preserve"> PAGEREF _Toc219232413 \h </w:instrText>
        </w:r>
        <w:r w:rsidR="00D0604D">
          <w:rPr>
            <w:noProof/>
            <w:webHidden/>
          </w:rPr>
        </w:r>
        <w:r w:rsidR="00D0604D">
          <w:rPr>
            <w:noProof/>
            <w:webHidden/>
          </w:rPr>
          <w:fldChar w:fldCharType="separate"/>
        </w:r>
        <w:r w:rsidR="00D0604D">
          <w:rPr>
            <w:noProof/>
            <w:webHidden/>
          </w:rPr>
          <w:t>30</w:t>
        </w:r>
        <w:r w:rsidR="00D0604D">
          <w:rPr>
            <w:noProof/>
            <w:webHidden/>
          </w:rPr>
          <w:fldChar w:fldCharType="end"/>
        </w:r>
      </w:hyperlink>
    </w:p>
    <w:p w14:paraId="0A9364C4" w14:textId="202544EA" w:rsidR="00D0604D" w:rsidRDefault="00AD3844">
      <w:pPr>
        <w:pStyle w:val="Sadraj2"/>
        <w:rPr>
          <w:rFonts w:eastAsiaTheme="minorEastAsia" w:cstheme="minorBidi"/>
          <w:b w:val="0"/>
          <w:bCs w:val="0"/>
          <w:noProof/>
          <w:kern w:val="2"/>
          <w:sz w:val="24"/>
          <w:szCs w:val="24"/>
          <w:lang w:val="hr-HR" w:eastAsia="hr-HR"/>
          <w14:ligatures w14:val="standardContextual"/>
        </w:rPr>
      </w:pPr>
      <w:hyperlink w:anchor="_Toc219232414" w:history="1">
        <w:r w:rsidR="00D0604D" w:rsidRPr="001F164A">
          <w:rPr>
            <w:rStyle w:val="Hiperveza"/>
            <w:rFonts w:eastAsia="Calibri"/>
            <w:noProof/>
            <w:lang w:val="en-AU"/>
          </w:rPr>
          <w:t>3.5.3 Synergy between North-West Region and Northern Adriatic Region</w:t>
        </w:r>
        <w:r w:rsidR="00D0604D">
          <w:rPr>
            <w:noProof/>
            <w:webHidden/>
          </w:rPr>
          <w:tab/>
        </w:r>
        <w:r w:rsidR="00D0604D">
          <w:rPr>
            <w:noProof/>
            <w:webHidden/>
          </w:rPr>
          <w:fldChar w:fldCharType="begin"/>
        </w:r>
        <w:r w:rsidR="00D0604D">
          <w:rPr>
            <w:noProof/>
            <w:webHidden/>
          </w:rPr>
          <w:instrText xml:space="preserve"> PAGEREF _Toc219232414 \h </w:instrText>
        </w:r>
        <w:r w:rsidR="00D0604D">
          <w:rPr>
            <w:noProof/>
            <w:webHidden/>
          </w:rPr>
        </w:r>
        <w:r w:rsidR="00D0604D">
          <w:rPr>
            <w:noProof/>
            <w:webHidden/>
          </w:rPr>
          <w:fldChar w:fldCharType="separate"/>
        </w:r>
        <w:r w:rsidR="00D0604D">
          <w:rPr>
            <w:noProof/>
            <w:webHidden/>
          </w:rPr>
          <w:t>31</w:t>
        </w:r>
        <w:r w:rsidR="00D0604D">
          <w:rPr>
            <w:noProof/>
            <w:webHidden/>
          </w:rPr>
          <w:fldChar w:fldCharType="end"/>
        </w:r>
      </w:hyperlink>
    </w:p>
    <w:p w14:paraId="538D6C73" w14:textId="0F559B3B" w:rsidR="00D0604D" w:rsidRDefault="00AD3844">
      <w:pPr>
        <w:pStyle w:val="Sadraj2"/>
        <w:rPr>
          <w:rFonts w:eastAsiaTheme="minorEastAsia" w:cstheme="minorBidi"/>
          <w:b w:val="0"/>
          <w:bCs w:val="0"/>
          <w:noProof/>
          <w:kern w:val="2"/>
          <w:sz w:val="24"/>
          <w:szCs w:val="24"/>
          <w:lang w:val="hr-HR" w:eastAsia="hr-HR"/>
          <w14:ligatures w14:val="standardContextual"/>
        </w:rPr>
      </w:pPr>
      <w:hyperlink w:anchor="_Toc219232415" w:history="1">
        <w:r w:rsidR="00D0604D" w:rsidRPr="001F164A">
          <w:rPr>
            <w:rStyle w:val="Hiperveza"/>
            <w:rFonts w:eastAsia="Calibri"/>
            <w:noProof/>
            <w:lang w:eastAsia="hr-HR"/>
          </w:rPr>
          <w:t>4.</w:t>
        </w:r>
        <w:r w:rsidR="00D0604D" w:rsidRPr="001F164A">
          <w:rPr>
            <w:rStyle w:val="Hiperveza"/>
            <w:rFonts w:eastAsiaTheme="majorEastAsia"/>
            <w:noProof/>
          </w:rPr>
          <w:t xml:space="preserve"> Hydrogen project landscape in Croatia</w:t>
        </w:r>
        <w:r w:rsidR="00D0604D">
          <w:rPr>
            <w:noProof/>
            <w:webHidden/>
          </w:rPr>
          <w:tab/>
        </w:r>
        <w:r w:rsidR="00D0604D">
          <w:rPr>
            <w:noProof/>
            <w:webHidden/>
          </w:rPr>
          <w:fldChar w:fldCharType="begin"/>
        </w:r>
        <w:r w:rsidR="00D0604D">
          <w:rPr>
            <w:noProof/>
            <w:webHidden/>
          </w:rPr>
          <w:instrText xml:space="preserve"> PAGEREF _Toc219232415 \h </w:instrText>
        </w:r>
        <w:r w:rsidR="00D0604D">
          <w:rPr>
            <w:noProof/>
            <w:webHidden/>
          </w:rPr>
        </w:r>
        <w:r w:rsidR="00D0604D">
          <w:rPr>
            <w:noProof/>
            <w:webHidden/>
          </w:rPr>
          <w:fldChar w:fldCharType="separate"/>
        </w:r>
        <w:r w:rsidR="00D0604D">
          <w:rPr>
            <w:noProof/>
            <w:webHidden/>
          </w:rPr>
          <w:t>32</w:t>
        </w:r>
        <w:r w:rsidR="00D0604D">
          <w:rPr>
            <w:noProof/>
            <w:webHidden/>
          </w:rPr>
          <w:fldChar w:fldCharType="end"/>
        </w:r>
      </w:hyperlink>
    </w:p>
    <w:p w14:paraId="738648EC" w14:textId="07A5EB80" w:rsidR="00D0604D" w:rsidRDefault="00AD3844">
      <w:pPr>
        <w:pStyle w:val="Sadraj2"/>
        <w:rPr>
          <w:rFonts w:eastAsiaTheme="minorEastAsia" w:cstheme="minorBidi"/>
          <w:b w:val="0"/>
          <w:bCs w:val="0"/>
          <w:noProof/>
          <w:kern w:val="2"/>
          <w:sz w:val="24"/>
          <w:szCs w:val="24"/>
          <w:lang w:val="hr-HR" w:eastAsia="hr-HR"/>
          <w14:ligatures w14:val="standardContextual"/>
        </w:rPr>
      </w:pPr>
      <w:hyperlink w:anchor="_Toc219232416" w:history="1">
        <w:r w:rsidR="00D0604D" w:rsidRPr="001F164A">
          <w:rPr>
            <w:rStyle w:val="Hiperveza"/>
            <w:rFonts w:eastAsia="Calibri"/>
            <w:noProof/>
          </w:rPr>
          <w:t>4.1. Current status of Hydrogen projects in Croatia</w:t>
        </w:r>
        <w:r w:rsidR="00D0604D">
          <w:rPr>
            <w:noProof/>
            <w:webHidden/>
          </w:rPr>
          <w:tab/>
        </w:r>
        <w:r w:rsidR="00D0604D">
          <w:rPr>
            <w:noProof/>
            <w:webHidden/>
          </w:rPr>
          <w:fldChar w:fldCharType="begin"/>
        </w:r>
        <w:r w:rsidR="00D0604D">
          <w:rPr>
            <w:noProof/>
            <w:webHidden/>
          </w:rPr>
          <w:instrText xml:space="preserve"> PAGEREF _Toc219232416 \h </w:instrText>
        </w:r>
        <w:r w:rsidR="00D0604D">
          <w:rPr>
            <w:noProof/>
            <w:webHidden/>
          </w:rPr>
        </w:r>
        <w:r w:rsidR="00D0604D">
          <w:rPr>
            <w:noProof/>
            <w:webHidden/>
          </w:rPr>
          <w:fldChar w:fldCharType="separate"/>
        </w:r>
        <w:r w:rsidR="00D0604D">
          <w:rPr>
            <w:noProof/>
            <w:webHidden/>
          </w:rPr>
          <w:t>32</w:t>
        </w:r>
        <w:r w:rsidR="00D0604D">
          <w:rPr>
            <w:noProof/>
            <w:webHidden/>
          </w:rPr>
          <w:fldChar w:fldCharType="end"/>
        </w:r>
      </w:hyperlink>
    </w:p>
    <w:p w14:paraId="01A87B14" w14:textId="06D49E47" w:rsidR="00D0604D" w:rsidRDefault="00AD3844">
      <w:pPr>
        <w:pStyle w:val="Sadraj2"/>
        <w:rPr>
          <w:rFonts w:eastAsiaTheme="minorEastAsia" w:cstheme="minorBidi"/>
          <w:b w:val="0"/>
          <w:bCs w:val="0"/>
          <w:noProof/>
          <w:kern w:val="2"/>
          <w:sz w:val="24"/>
          <w:szCs w:val="24"/>
          <w:lang w:val="hr-HR" w:eastAsia="hr-HR"/>
          <w14:ligatures w14:val="standardContextual"/>
        </w:rPr>
      </w:pPr>
      <w:hyperlink w:anchor="_Toc219232417" w:history="1">
        <w:r w:rsidR="00D0604D" w:rsidRPr="001F164A">
          <w:rPr>
            <w:rStyle w:val="Hiperveza"/>
            <w:rFonts w:eastAsia="Calibri"/>
            <w:noProof/>
          </w:rPr>
          <w:t>4.2. Pilot projects of national importance for Croatia</w:t>
        </w:r>
        <w:r w:rsidR="00D0604D">
          <w:rPr>
            <w:noProof/>
            <w:webHidden/>
          </w:rPr>
          <w:tab/>
        </w:r>
        <w:r w:rsidR="00D0604D">
          <w:rPr>
            <w:noProof/>
            <w:webHidden/>
          </w:rPr>
          <w:fldChar w:fldCharType="begin"/>
        </w:r>
        <w:r w:rsidR="00D0604D">
          <w:rPr>
            <w:noProof/>
            <w:webHidden/>
          </w:rPr>
          <w:instrText xml:space="preserve"> PAGEREF _Toc219232417 \h </w:instrText>
        </w:r>
        <w:r w:rsidR="00D0604D">
          <w:rPr>
            <w:noProof/>
            <w:webHidden/>
          </w:rPr>
        </w:r>
        <w:r w:rsidR="00D0604D">
          <w:rPr>
            <w:noProof/>
            <w:webHidden/>
          </w:rPr>
          <w:fldChar w:fldCharType="separate"/>
        </w:r>
        <w:r w:rsidR="00D0604D">
          <w:rPr>
            <w:noProof/>
            <w:webHidden/>
          </w:rPr>
          <w:t>33</w:t>
        </w:r>
        <w:r w:rsidR="00D0604D">
          <w:rPr>
            <w:noProof/>
            <w:webHidden/>
          </w:rPr>
          <w:fldChar w:fldCharType="end"/>
        </w:r>
      </w:hyperlink>
    </w:p>
    <w:p w14:paraId="37864CC3" w14:textId="23F4A77F" w:rsidR="00D0604D" w:rsidRDefault="00AD3844">
      <w:pPr>
        <w:pStyle w:val="Sadraj2"/>
        <w:rPr>
          <w:rFonts w:eastAsiaTheme="minorEastAsia" w:cstheme="minorBidi"/>
          <w:b w:val="0"/>
          <w:bCs w:val="0"/>
          <w:noProof/>
          <w:kern w:val="2"/>
          <w:sz w:val="24"/>
          <w:szCs w:val="24"/>
          <w:lang w:val="hr-HR" w:eastAsia="hr-HR"/>
          <w14:ligatures w14:val="standardContextual"/>
        </w:rPr>
      </w:pPr>
      <w:hyperlink w:anchor="_Toc219232418" w:history="1">
        <w:r w:rsidR="00D0604D" w:rsidRPr="001F164A">
          <w:rPr>
            <w:rStyle w:val="Hiperveza"/>
            <w:rFonts w:eastAsia="Calibri"/>
            <w:noProof/>
          </w:rPr>
          <w:t>4.3. Conflict and risk assessment of hydrogen projects</w:t>
        </w:r>
        <w:r w:rsidR="00D0604D">
          <w:rPr>
            <w:noProof/>
            <w:webHidden/>
          </w:rPr>
          <w:tab/>
        </w:r>
        <w:r w:rsidR="00D0604D">
          <w:rPr>
            <w:noProof/>
            <w:webHidden/>
          </w:rPr>
          <w:fldChar w:fldCharType="begin"/>
        </w:r>
        <w:r w:rsidR="00D0604D">
          <w:rPr>
            <w:noProof/>
            <w:webHidden/>
          </w:rPr>
          <w:instrText xml:space="preserve"> PAGEREF _Toc219232418 \h </w:instrText>
        </w:r>
        <w:r w:rsidR="00D0604D">
          <w:rPr>
            <w:noProof/>
            <w:webHidden/>
          </w:rPr>
        </w:r>
        <w:r w:rsidR="00D0604D">
          <w:rPr>
            <w:noProof/>
            <w:webHidden/>
          </w:rPr>
          <w:fldChar w:fldCharType="separate"/>
        </w:r>
        <w:r w:rsidR="00D0604D">
          <w:rPr>
            <w:noProof/>
            <w:webHidden/>
          </w:rPr>
          <w:t>35</w:t>
        </w:r>
        <w:r w:rsidR="00D0604D">
          <w:rPr>
            <w:noProof/>
            <w:webHidden/>
          </w:rPr>
          <w:fldChar w:fldCharType="end"/>
        </w:r>
      </w:hyperlink>
    </w:p>
    <w:p w14:paraId="363BABE9" w14:textId="231AE53E" w:rsidR="00D0604D" w:rsidRDefault="00AD3844">
      <w:pPr>
        <w:pStyle w:val="Sadraj2"/>
        <w:rPr>
          <w:rFonts w:eastAsiaTheme="minorEastAsia" w:cstheme="minorBidi"/>
          <w:b w:val="0"/>
          <w:bCs w:val="0"/>
          <w:noProof/>
          <w:kern w:val="2"/>
          <w:sz w:val="24"/>
          <w:szCs w:val="24"/>
          <w:lang w:val="hr-HR" w:eastAsia="hr-HR"/>
          <w14:ligatures w14:val="standardContextual"/>
        </w:rPr>
      </w:pPr>
      <w:hyperlink w:anchor="_Toc219232419" w:history="1">
        <w:r w:rsidR="00D0604D" w:rsidRPr="001F164A">
          <w:rPr>
            <w:rStyle w:val="Hiperveza"/>
            <w:rFonts w:eastAsia="Calibri"/>
            <w:noProof/>
          </w:rPr>
          <w:t>4.4. Funding and financing roadmap</w:t>
        </w:r>
        <w:r w:rsidR="00D0604D">
          <w:rPr>
            <w:noProof/>
            <w:webHidden/>
          </w:rPr>
          <w:tab/>
        </w:r>
        <w:r w:rsidR="00D0604D">
          <w:rPr>
            <w:noProof/>
            <w:webHidden/>
          </w:rPr>
          <w:fldChar w:fldCharType="begin"/>
        </w:r>
        <w:r w:rsidR="00D0604D">
          <w:rPr>
            <w:noProof/>
            <w:webHidden/>
          </w:rPr>
          <w:instrText xml:space="preserve"> PAGEREF _Toc219232419 \h </w:instrText>
        </w:r>
        <w:r w:rsidR="00D0604D">
          <w:rPr>
            <w:noProof/>
            <w:webHidden/>
          </w:rPr>
        </w:r>
        <w:r w:rsidR="00D0604D">
          <w:rPr>
            <w:noProof/>
            <w:webHidden/>
          </w:rPr>
          <w:fldChar w:fldCharType="separate"/>
        </w:r>
        <w:r w:rsidR="00D0604D">
          <w:rPr>
            <w:noProof/>
            <w:webHidden/>
          </w:rPr>
          <w:t>37</w:t>
        </w:r>
        <w:r w:rsidR="00D0604D">
          <w:rPr>
            <w:noProof/>
            <w:webHidden/>
          </w:rPr>
          <w:fldChar w:fldCharType="end"/>
        </w:r>
      </w:hyperlink>
    </w:p>
    <w:p w14:paraId="2A3ECB22" w14:textId="7E3D0A07" w:rsidR="00D0604D" w:rsidRDefault="00AD3844">
      <w:pPr>
        <w:pStyle w:val="Sadraj2"/>
        <w:rPr>
          <w:rFonts w:eastAsiaTheme="minorEastAsia" w:cstheme="minorBidi"/>
          <w:b w:val="0"/>
          <w:bCs w:val="0"/>
          <w:noProof/>
          <w:kern w:val="2"/>
          <w:sz w:val="24"/>
          <w:szCs w:val="24"/>
          <w:lang w:val="hr-HR" w:eastAsia="hr-HR"/>
          <w14:ligatures w14:val="standardContextual"/>
        </w:rPr>
      </w:pPr>
      <w:hyperlink w:anchor="_Toc219232420" w:history="1">
        <w:r w:rsidR="00D0604D" w:rsidRPr="001F164A">
          <w:rPr>
            <w:rStyle w:val="Hiperveza"/>
            <w:rFonts w:eastAsiaTheme="majorEastAsia"/>
            <w:noProof/>
          </w:rPr>
          <w:t>5.</w:t>
        </w:r>
        <w:r w:rsidR="00D0604D" w:rsidRPr="001F164A">
          <w:rPr>
            <w:rStyle w:val="Hiperveza"/>
            <w:rFonts w:eastAsia="Calibri"/>
            <w:noProof/>
          </w:rPr>
          <w:t xml:space="preserve"> Strategic priority activities for Hydrogen development through 2030 and 2050</w:t>
        </w:r>
        <w:r w:rsidR="00D0604D">
          <w:rPr>
            <w:noProof/>
            <w:webHidden/>
          </w:rPr>
          <w:tab/>
        </w:r>
        <w:r w:rsidR="00D0604D">
          <w:rPr>
            <w:noProof/>
            <w:webHidden/>
          </w:rPr>
          <w:fldChar w:fldCharType="begin"/>
        </w:r>
        <w:r w:rsidR="00D0604D">
          <w:rPr>
            <w:noProof/>
            <w:webHidden/>
          </w:rPr>
          <w:instrText xml:space="preserve"> PAGEREF _Toc219232420 \h </w:instrText>
        </w:r>
        <w:r w:rsidR="00D0604D">
          <w:rPr>
            <w:noProof/>
            <w:webHidden/>
          </w:rPr>
        </w:r>
        <w:r w:rsidR="00D0604D">
          <w:rPr>
            <w:noProof/>
            <w:webHidden/>
          </w:rPr>
          <w:fldChar w:fldCharType="separate"/>
        </w:r>
        <w:r w:rsidR="00D0604D">
          <w:rPr>
            <w:noProof/>
            <w:webHidden/>
          </w:rPr>
          <w:t>38</w:t>
        </w:r>
        <w:r w:rsidR="00D0604D">
          <w:rPr>
            <w:noProof/>
            <w:webHidden/>
          </w:rPr>
          <w:fldChar w:fldCharType="end"/>
        </w:r>
      </w:hyperlink>
    </w:p>
    <w:p w14:paraId="4603A7C0" w14:textId="288BB072" w:rsidR="00D0604D" w:rsidRDefault="00AD3844">
      <w:pPr>
        <w:pStyle w:val="Sadraj2"/>
        <w:rPr>
          <w:rFonts w:eastAsiaTheme="minorEastAsia" w:cstheme="minorBidi"/>
          <w:b w:val="0"/>
          <w:bCs w:val="0"/>
          <w:noProof/>
          <w:kern w:val="2"/>
          <w:sz w:val="24"/>
          <w:szCs w:val="24"/>
          <w:lang w:val="hr-HR" w:eastAsia="hr-HR"/>
          <w14:ligatures w14:val="standardContextual"/>
        </w:rPr>
      </w:pPr>
      <w:hyperlink w:anchor="_Toc219232421" w:history="1">
        <w:r w:rsidR="00D0604D" w:rsidRPr="001F164A">
          <w:rPr>
            <w:rStyle w:val="Hiperveza"/>
            <w:rFonts w:eastAsia="Calibri"/>
            <w:noProof/>
            <w:lang w:val="en-AU"/>
          </w:rPr>
          <w:t>6.</w:t>
        </w:r>
        <w:r w:rsidR="00D0604D" w:rsidRPr="001F164A">
          <w:rPr>
            <w:rStyle w:val="Hiperveza"/>
            <w:rFonts w:eastAsia="Calibri"/>
            <w:noProof/>
          </w:rPr>
          <w:t xml:space="preserve"> Strategic transnational collaboration for hydrogen development</w:t>
        </w:r>
        <w:r w:rsidR="00D0604D">
          <w:rPr>
            <w:noProof/>
            <w:webHidden/>
          </w:rPr>
          <w:tab/>
        </w:r>
        <w:r w:rsidR="00D0604D">
          <w:rPr>
            <w:noProof/>
            <w:webHidden/>
          </w:rPr>
          <w:fldChar w:fldCharType="begin"/>
        </w:r>
        <w:r w:rsidR="00D0604D">
          <w:rPr>
            <w:noProof/>
            <w:webHidden/>
          </w:rPr>
          <w:instrText xml:space="preserve"> PAGEREF _Toc219232421 \h </w:instrText>
        </w:r>
        <w:r w:rsidR="00D0604D">
          <w:rPr>
            <w:noProof/>
            <w:webHidden/>
          </w:rPr>
        </w:r>
        <w:r w:rsidR="00D0604D">
          <w:rPr>
            <w:noProof/>
            <w:webHidden/>
          </w:rPr>
          <w:fldChar w:fldCharType="separate"/>
        </w:r>
        <w:r w:rsidR="00D0604D">
          <w:rPr>
            <w:noProof/>
            <w:webHidden/>
          </w:rPr>
          <w:t>41</w:t>
        </w:r>
        <w:r w:rsidR="00D0604D">
          <w:rPr>
            <w:noProof/>
            <w:webHidden/>
          </w:rPr>
          <w:fldChar w:fldCharType="end"/>
        </w:r>
      </w:hyperlink>
    </w:p>
    <w:p w14:paraId="154746C5" w14:textId="2C80B8A0" w:rsidR="00D0604D" w:rsidRDefault="00AD3844">
      <w:pPr>
        <w:pStyle w:val="Sadraj2"/>
        <w:rPr>
          <w:rFonts w:eastAsiaTheme="minorEastAsia" w:cstheme="minorBidi"/>
          <w:b w:val="0"/>
          <w:bCs w:val="0"/>
          <w:noProof/>
          <w:kern w:val="2"/>
          <w:sz w:val="24"/>
          <w:szCs w:val="24"/>
          <w:lang w:val="hr-HR" w:eastAsia="hr-HR"/>
          <w14:ligatures w14:val="standardContextual"/>
        </w:rPr>
      </w:pPr>
      <w:hyperlink w:anchor="_Toc219232422" w:history="1">
        <w:r w:rsidR="00D0604D" w:rsidRPr="001F164A">
          <w:rPr>
            <w:rStyle w:val="Hiperveza"/>
            <w:rFonts w:eastAsia="Calibri"/>
            <w:noProof/>
          </w:rPr>
          <w:t>Conclusion</w:t>
        </w:r>
        <w:r w:rsidR="00D0604D">
          <w:rPr>
            <w:noProof/>
            <w:webHidden/>
          </w:rPr>
          <w:tab/>
        </w:r>
        <w:r w:rsidR="00D0604D">
          <w:rPr>
            <w:noProof/>
            <w:webHidden/>
          </w:rPr>
          <w:fldChar w:fldCharType="begin"/>
        </w:r>
        <w:r w:rsidR="00D0604D">
          <w:rPr>
            <w:noProof/>
            <w:webHidden/>
          </w:rPr>
          <w:instrText xml:space="preserve"> PAGEREF _Toc219232422 \h </w:instrText>
        </w:r>
        <w:r w:rsidR="00D0604D">
          <w:rPr>
            <w:noProof/>
            <w:webHidden/>
          </w:rPr>
        </w:r>
        <w:r w:rsidR="00D0604D">
          <w:rPr>
            <w:noProof/>
            <w:webHidden/>
          </w:rPr>
          <w:fldChar w:fldCharType="separate"/>
        </w:r>
        <w:r w:rsidR="00D0604D">
          <w:rPr>
            <w:noProof/>
            <w:webHidden/>
          </w:rPr>
          <w:t>43</w:t>
        </w:r>
        <w:r w:rsidR="00D0604D">
          <w:rPr>
            <w:noProof/>
            <w:webHidden/>
          </w:rPr>
          <w:fldChar w:fldCharType="end"/>
        </w:r>
      </w:hyperlink>
    </w:p>
    <w:p w14:paraId="6A72BB1F" w14:textId="2B8005F0" w:rsidR="00D0604D" w:rsidRDefault="00AD3844">
      <w:pPr>
        <w:pStyle w:val="Sadraj2"/>
        <w:rPr>
          <w:rFonts w:eastAsiaTheme="minorEastAsia" w:cstheme="minorBidi"/>
          <w:b w:val="0"/>
          <w:bCs w:val="0"/>
          <w:noProof/>
          <w:kern w:val="2"/>
          <w:sz w:val="24"/>
          <w:szCs w:val="24"/>
          <w:lang w:val="hr-HR" w:eastAsia="hr-HR"/>
          <w14:ligatures w14:val="standardContextual"/>
        </w:rPr>
      </w:pPr>
      <w:hyperlink w:anchor="_Toc219232423" w:history="1">
        <w:r w:rsidR="00D0604D" w:rsidRPr="001F164A">
          <w:rPr>
            <w:rStyle w:val="Hiperveza"/>
            <w:rFonts w:eastAsia="Calibri"/>
            <w:noProof/>
          </w:rPr>
          <w:t>Reference</w:t>
        </w:r>
        <w:r w:rsidR="00D0604D">
          <w:rPr>
            <w:noProof/>
            <w:webHidden/>
          </w:rPr>
          <w:tab/>
        </w:r>
        <w:r w:rsidR="00D0604D">
          <w:rPr>
            <w:noProof/>
            <w:webHidden/>
          </w:rPr>
          <w:fldChar w:fldCharType="begin"/>
        </w:r>
        <w:r w:rsidR="00D0604D">
          <w:rPr>
            <w:noProof/>
            <w:webHidden/>
          </w:rPr>
          <w:instrText xml:space="preserve"> PAGEREF _Toc219232423 \h </w:instrText>
        </w:r>
        <w:r w:rsidR="00D0604D">
          <w:rPr>
            <w:noProof/>
            <w:webHidden/>
          </w:rPr>
        </w:r>
        <w:r w:rsidR="00D0604D">
          <w:rPr>
            <w:noProof/>
            <w:webHidden/>
          </w:rPr>
          <w:fldChar w:fldCharType="separate"/>
        </w:r>
        <w:r w:rsidR="00D0604D">
          <w:rPr>
            <w:noProof/>
            <w:webHidden/>
          </w:rPr>
          <w:t>44</w:t>
        </w:r>
        <w:r w:rsidR="00D0604D">
          <w:rPr>
            <w:noProof/>
            <w:webHidden/>
          </w:rPr>
          <w:fldChar w:fldCharType="end"/>
        </w:r>
      </w:hyperlink>
    </w:p>
    <w:p w14:paraId="1FC634E9" w14:textId="4E818002" w:rsidR="00D56DE6" w:rsidRPr="00D56DE6" w:rsidRDefault="00A41F15" w:rsidP="00D56DE6">
      <w:pPr>
        <w:ind w:left="0" w:right="0"/>
        <w:rPr>
          <w:rFonts w:ascii="Trebuchet MS" w:hAnsi="Trebuchet MS"/>
          <w:color w:val="708792" w:themeColor="background2"/>
          <w:sz w:val="28"/>
          <w:szCs w:val="18"/>
        </w:rPr>
      </w:pPr>
      <w:r>
        <w:rPr>
          <w:rFonts w:asciiTheme="minorHAnsi" w:hAnsiTheme="minorHAnsi"/>
        </w:rPr>
        <w:lastRenderedPageBreak/>
        <w:fldChar w:fldCharType="end"/>
      </w:r>
      <w:r w:rsidR="00D56DE6">
        <w:rPr>
          <w:rFonts w:ascii="Trebuchet MS" w:hAnsi="Trebuchet MS"/>
          <w:color w:val="708792" w:themeColor="background2"/>
          <w:sz w:val="28"/>
          <w:szCs w:val="18"/>
        </w:rPr>
        <w:t>List of tables</w:t>
      </w:r>
    </w:p>
    <w:p w14:paraId="6A3E5B59" w14:textId="77777777" w:rsidR="00D56DE6" w:rsidRDefault="00D56DE6">
      <w:pPr>
        <w:pStyle w:val="Tablicaslika"/>
        <w:tabs>
          <w:tab w:val="right" w:leader="dot" w:pos="9628"/>
        </w:tabs>
        <w:rPr>
          <w:sz w:val="28"/>
          <w:szCs w:val="28"/>
        </w:rPr>
      </w:pPr>
    </w:p>
    <w:p w14:paraId="67C06DCE" w14:textId="55E3357F" w:rsidR="00D0604D" w:rsidRPr="00D0604D" w:rsidRDefault="00941C4C">
      <w:pPr>
        <w:pStyle w:val="Tablicaslika"/>
        <w:tabs>
          <w:tab w:val="right" w:leader="dot" w:pos="9628"/>
        </w:tabs>
        <w:rPr>
          <w:rFonts w:asciiTheme="minorHAnsi" w:eastAsiaTheme="minorEastAsia" w:hAnsiTheme="minorHAnsi" w:cstheme="minorBidi"/>
          <w:noProof/>
          <w:kern w:val="2"/>
          <w:sz w:val="24"/>
          <w:szCs w:val="24"/>
          <w:lang w:val="hr-HR" w:eastAsia="hr-HR"/>
          <w14:ligatures w14:val="standardContextual"/>
        </w:rPr>
      </w:pPr>
      <w:r w:rsidRPr="00D0604D">
        <w:rPr>
          <w:rFonts w:asciiTheme="minorHAnsi" w:hAnsiTheme="minorHAnsi"/>
          <w:sz w:val="28"/>
          <w:szCs w:val="28"/>
        </w:rPr>
        <w:fldChar w:fldCharType="begin"/>
      </w:r>
      <w:r w:rsidRPr="00D0604D">
        <w:rPr>
          <w:rFonts w:asciiTheme="minorHAnsi" w:hAnsiTheme="minorHAnsi"/>
          <w:sz w:val="28"/>
          <w:szCs w:val="28"/>
        </w:rPr>
        <w:instrText xml:space="preserve"> TOC \h \z \c "Table" </w:instrText>
      </w:r>
      <w:r w:rsidRPr="00D0604D">
        <w:rPr>
          <w:rFonts w:asciiTheme="minorHAnsi" w:hAnsiTheme="minorHAnsi"/>
          <w:sz w:val="28"/>
          <w:szCs w:val="28"/>
        </w:rPr>
        <w:fldChar w:fldCharType="separate"/>
      </w:r>
      <w:hyperlink w:anchor="_Toc219232424" w:history="1">
        <w:r w:rsidR="00D0604D" w:rsidRPr="00D0604D">
          <w:rPr>
            <w:rStyle w:val="Hiperveza"/>
            <w:rFonts w:asciiTheme="minorHAnsi" w:hAnsiTheme="minorHAnsi"/>
            <w:noProof/>
          </w:rPr>
          <w:t>Table 1: Government and Regulatory Stakeholders</w:t>
        </w:r>
        <w:r w:rsidR="00D0604D" w:rsidRPr="00D0604D">
          <w:rPr>
            <w:rFonts w:asciiTheme="minorHAnsi" w:hAnsiTheme="minorHAnsi"/>
            <w:noProof/>
            <w:webHidden/>
          </w:rPr>
          <w:tab/>
        </w:r>
        <w:r w:rsidR="00D0604D" w:rsidRPr="00D0604D">
          <w:rPr>
            <w:rFonts w:asciiTheme="minorHAnsi" w:hAnsiTheme="minorHAnsi"/>
            <w:noProof/>
            <w:webHidden/>
          </w:rPr>
          <w:fldChar w:fldCharType="begin"/>
        </w:r>
        <w:r w:rsidR="00D0604D" w:rsidRPr="00D0604D">
          <w:rPr>
            <w:rFonts w:asciiTheme="minorHAnsi" w:hAnsiTheme="minorHAnsi"/>
            <w:noProof/>
            <w:webHidden/>
          </w:rPr>
          <w:instrText xml:space="preserve"> PAGEREF _Toc219232424 \h </w:instrText>
        </w:r>
        <w:r w:rsidR="00D0604D" w:rsidRPr="00D0604D">
          <w:rPr>
            <w:rFonts w:asciiTheme="minorHAnsi" w:hAnsiTheme="minorHAnsi"/>
            <w:noProof/>
            <w:webHidden/>
          </w:rPr>
        </w:r>
        <w:r w:rsidR="00D0604D" w:rsidRPr="00D0604D">
          <w:rPr>
            <w:rFonts w:asciiTheme="minorHAnsi" w:hAnsiTheme="minorHAnsi"/>
            <w:noProof/>
            <w:webHidden/>
          </w:rPr>
          <w:fldChar w:fldCharType="separate"/>
        </w:r>
        <w:r w:rsidR="00D0604D" w:rsidRPr="00D0604D">
          <w:rPr>
            <w:rFonts w:asciiTheme="minorHAnsi" w:hAnsiTheme="minorHAnsi"/>
            <w:noProof/>
            <w:webHidden/>
          </w:rPr>
          <w:t>18</w:t>
        </w:r>
        <w:r w:rsidR="00D0604D" w:rsidRPr="00D0604D">
          <w:rPr>
            <w:rFonts w:asciiTheme="minorHAnsi" w:hAnsiTheme="minorHAnsi"/>
            <w:noProof/>
            <w:webHidden/>
          </w:rPr>
          <w:fldChar w:fldCharType="end"/>
        </w:r>
      </w:hyperlink>
    </w:p>
    <w:p w14:paraId="5C41600F" w14:textId="69A44323" w:rsidR="00D0604D" w:rsidRPr="00D0604D" w:rsidRDefault="00AD3844">
      <w:pPr>
        <w:pStyle w:val="Tablicaslika"/>
        <w:tabs>
          <w:tab w:val="right" w:leader="dot" w:pos="9628"/>
        </w:tabs>
        <w:rPr>
          <w:rFonts w:asciiTheme="minorHAnsi" w:eastAsiaTheme="minorEastAsia" w:hAnsiTheme="minorHAnsi" w:cstheme="minorBidi"/>
          <w:noProof/>
          <w:kern w:val="2"/>
          <w:sz w:val="24"/>
          <w:szCs w:val="24"/>
          <w:lang w:val="hr-HR" w:eastAsia="hr-HR"/>
          <w14:ligatures w14:val="standardContextual"/>
        </w:rPr>
      </w:pPr>
      <w:hyperlink w:anchor="_Toc219232425" w:history="1">
        <w:r w:rsidR="00D0604D" w:rsidRPr="00D0604D">
          <w:rPr>
            <w:rStyle w:val="Hiperveza"/>
            <w:rFonts w:asciiTheme="minorHAnsi" w:hAnsiTheme="minorHAnsi"/>
            <w:noProof/>
          </w:rPr>
          <w:t>Table 2</w:t>
        </w:r>
        <w:r w:rsidR="00D0604D" w:rsidRPr="00D0604D">
          <w:rPr>
            <w:rStyle w:val="Hiperveza"/>
            <w:rFonts w:asciiTheme="minorHAnsi" w:hAnsiTheme="minorHAnsi" w:cs="Calibri"/>
            <w:noProof/>
            <w:lang w:val="en-AU" w:eastAsia="hr-HR"/>
          </w:rPr>
          <w:t>:  Public Enterprises and Infrastructure Operators</w:t>
        </w:r>
        <w:r w:rsidR="00D0604D" w:rsidRPr="00D0604D">
          <w:rPr>
            <w:rFonts w:asciiTheme="minorHAnsi" w:hAnsiTheme="minorHAnsi"/>
            <w:noProof/>
            <w:webHidden/>
          </w:rPr>
          <w:tab/>
        </w:r>
        <w:r w:rsidR="00D0604D" w:rsidRPr="00D0604D">
          <w:rPr>
            <w:rFonts w:asciiTheme="minorHAnsi" w:hAnsiTheme="minorHAnsi"/>
            <w:noProof/>
            <w:webHidden/>
          </w:rPr>
          <w:fldChar w:fldCharType="begin"/>
        </w:r>
        <w:r w:rsidR="00D0604D" w:rsidRPr="00D0604D">
          <w:rPr>
            <w:rFonts w:asciiTheme="minorHAnsi" w:hAnsiTheme="minorHAnsi"/>
            <w:noProof/>
            <w:webHidden/>
          </w:rPr>
          <w:instrText xml:space="preserve"> PAGEREF _Toc219232425 \h </w:instrText>
        </w:r>
        <w:r w:rsidR="00D0604D" w:rsidRPr="00D0604D">
          <w:rPr>
            <w:rFonts w:asciiTheme="minorHAnsi" w:hAnsiTheme="minorHAnsi"/>
            <w:noProof/>
            <w:webHidden/>
          </w:rPr>
        </w:r>
        <w:r w:rsidR="00D0604D" w:rsidRPr="00D0604D">
          <w:rPr>
            <w:rFonts w:asciiTheme="minorHAnsi" w:hAnsiTheme="minorHAnsi"/>
            <w:noProof/>
            <w:webHidden/>
          </w:rPr>
          <w:fldChar w:fldCharType="separate"/>
        </w:r>
        <w:r w:rsidR="00D0604D" w:rsidRPr="00D0604D">
          <w:rPr>
            <w:rFonts w:asciiTheme="minorHAnsi" w:hAnsiTheme="minorHAnsi"/>
            <w:noProof/>
            <w:webHidden/>
          </w:rPr>
          <w:t>18</w:t>
        </w:r>
        <w:r w:rsidR="00D0604D" w:rsidRPr="00D0604D">
          <w:rPr>
            <w:rFonts w:asciiTheme="minorHAnsi" w:hAnsiTheme="minorHAnsi"/>
            <w:noProof/>
            <w:webHidden/>
          </w:rPr>
          <w:fldChar w:fldCharType="end"/>
        </w:r>
      </w:hyperlink>
    </w:p>
    <w:p w14:paraId="530F12B0" w14:textId="57B9A978" w:rsidR="00D0604D" w:rsidRPr="00D0604D" w:rsidRDefault="00AD3844">
      <w:pPr>
        <w:pStyle w:val="Tablicaslika"/>
        <w:tabs>
          <w:tab w:val="right" w:leader="dot" w:pos="9628"/>
        </w:tabs>
        <w:rPr>
          <w:rFonts w:asciiTheme="minorHAnsi" w:eastAsiaTheme="minorEastAsia" w:hAnsiTheme="minorHAnsi" w:cstheme="minorBidi"/>
          <w:noProof/>
          <w:kern w:val="2"/>
          <w:sz w:val="24"/>
          <w:szCs w:val="24"/>
          <w:lang w:val="hr-HR" w:eastAsia="hr-HR"/>
          <w14:ligatures w14:val="standardContextual"/>
        </w:rPr>
      </w:pPr>
      <w:hyperlink w:anchor="_Toc219232426" w:history="1">
        <w:r w:rsidR="00D0604D" w:rsidRPr="00D0604D">
          <w:rPr>
            <w:rStyle w:val="Hiperveza"/>
            <w:rFonts w:asciiTheme="minorHAnsi" w:hAnsiTheme="minorHAnsi"/>
            <w:noProof/>
          </w:rPr>
          <w:t>Table 3: Private Sector Stakeholders</w:t>
        </w:r>
        <w:r w:rsidR="00D0604D" w:rsidRPr="00D0604D">
          <w:rPr>
            <w:rFonts w:asciiTheme="minorHAnsi" w:hAnsiTheme="minorHAnsi"/>
            <w:noProof/>
            <w:webHidden/>
          </w:rPr>
          <w:tab/>
        </w:r>
        <w:r w:rsidR="00D0604D" w:rsidRPr="00D0604D">
          <w:rPr>
            <w:rFonts w:asciiTheme="minorHAnsi" w:hAnsiTheme="minorHAnsi"/>
            <w:noProof/>
            <w:webHidden/>
          </w:rPr>
          <w:fldChar w:fldCharType="begin"/>
        </w:r>
        <w:r w:rsidR="00D0604D" w:rsidRPr="00D0604D">
          <w:rPr>
            <w:rFonts w:asciiTheme="minorHAnsi" w:hAnsiTheme="minorHAnsi"/>
            <w:noProof/>
            <w:webHidden/>
          </w:rPr>
          <w:instrText xml:space="preserve"> PAGEREF _Toc219232426 \h </w:instrText>
        </w:r>
        <w:r w:rsidR="00D0604D" w:rsidRPr="00D0604D">
          <w:rPr>
            <w:rFonts w:asciiTheme="minorHAnsi" w:hAnsiTheme="minorHAnsi"/>
            <w:noProof/>
            <w:webHidden/>
          </w:rPr>
        </w:r>
        <w:r w:rsidR="00D0604D" w:rsidRPr="00D0604D">
          <w:rPr>
            <w:rFonts w:asciiTheme="minorHAnsi" w:hAnsiTheme="minorHAnsi"/>
            <w:noProof/>
            <w:webHidden/>
          </w:rPr>
          <w:fldChar w:fldCharType="separate"/>
        </w:r>
        <w:r w:rsidR="00D0604D" w:rsidRPr="00D0604D">
          <w:rPr>
            <w:rFonts w:asciiTheme="minorHAnsi" w:hAnsiTheme="minorHAnsi"/>
            <w:noProof/>
            <w:webHidden/>
          </w:rPr>
          <w:t>18</w:t>
        </w:r>
        <w:r w:rsidR="00D0604D" w:rsidRPr="00D0604D">
          <w:rPr>
            <w:rFonts w:asciiTheme="minorHAnsi" w:hAnsiTheme="minorHAnsi"/>
            <w:noProof/>
            <w:webHidden/>
          </w:rPr>
          <w:fldChar w:fldCharType="end"/>
        </w:r>
      </w:hyperlink>
    </w:p>
    <w:p w14:paraId="044CD1B8" w14:textId="13009FEC" w:rsidR="00D0604D" w:rsidRPr="00D0604D" w:rsidRDefault="00AD3844">
      <w:pPr>
        <w:pStyle w:val="Tablicaslika"/>
        <w:tabs>
          <w:tab w:val="right" w:leader="dot" w:pos="9628"/>
        </w:tabs>
        <w:rPr>
          <w:rFonts w:asciiTheme="minorHAnsi" w:eastAsiaTheme="minorEastAsia" w:hAnsiTheme="minorHAnsi" w:cstheme="minorBidi"/>
          <w:noProof/>
          <w:kern w:val="2"/>
          <w:sz w:val="24"/>
          <w:szCs w:val="24"/>
          <w:lang w:val="hr-HR" w:eastAsia="hr-HR"/>
          <w14:ligatures w14:val="standardContextual"/>
        </w:rPr>
      </w:pPr>
      <w:hyperlink w:anchor="_Toc219232427" w:history="1">
        <w:r w:rsidR="00D0604D" w:rsidRPr="00D0604D">
          <w:rPr>
            <w:rStyle w:val="Hiperveza"/>
            <w:rFonts w:asciiTheme="minorHAnsi" w:hAnsiTheme="minorHAnsi"/>
            <w:noProof/>
          </w:rPr>
          <w:t>Table 4: Regional and Financial Stakeholders</w:t>
        </w:r>
        <w:r w:rsidR="00D0604D" w:rsidRPr="00D0604D">
          <w:rPr>
            <w:rFonts w:asciiTheme="minorHAnsi" w:hAnsiTheme="minorHAnsi"/>
            <w:noProof/>
            <w:webHidden/>
          </w:rPr>
          <w:tab/>
        </w:r>
        <w:r w:rsidR="00D0604D" w:rsidRPr="00D0604D">
          <w:rPr>
            <w:rFonts w:asciiTheme="minorHAnsi" w:hAnsiTheme="minorHAnsi"/>
            <w:noProof/>
            <w:webHidden/>
          </w:rPr>
          <w:fldChar w:fldCharType="begin"/>
        </w:r>
        <w:r w:rsidR="00D0604D" w:rsidRPr="00D0604D">
          <w:rPr>
            <w:rFonts w:asciiTheme="minorHAnsi" w:hAnsiTheme="minorHAnsi"/>
            <w:noProof/>
            <w:webHidden/>
          </w:rPr>
          <w:instrText xml:space="preserve"> PAGEREF _Toc219232427 \h </w:instrText>
        </w:r>
        <w:r w:rsidR="00D0604D" w:rsidRPr="00D0604D">
          <w:rPr>
            <w:rFonts w:asciiTheme="minorHAnsi" w:hAnsiTheme="minorHAnsi"/>
            <w:noProof/>
            <w:webHidden/>
          </w:rPr>
        </w:r>
        <w:r w:rsidR="00D0604D" w:rsidRPr="00D0604D">
          <w:rPr>
            <w:rFonts w:asciiTheme="minorHAnsi" w:hAnsiTheme="minorHAnsi"/>
            <w:noProof/>
            <w:webHidden/>
          </w:rPr>
          <w:fldChar w:fldCharType="separate"/>
        </w:r>
        <w:r w:rsidR="00D0604D" w:rsidRPr="00D0604D">
          <w:rPr>
            <w:rFonts w:asciiTheme="minorHAnsi" w:hAnsiTheme="minorHAnsi"/>
            <w:noProof/>
            <w:webHidden/>
          </w:rPr>
          <w:t>18</w:t>
        </w:r>
        <w:r w:rsidR="00D0604D" w:rsidRPr="00D0604D">
          <w:rPr>
            <w:rFonts w:asciiTheme="minorHAnsi" w:hAnsiTheme="minorHAnsi"/>
            <w:noProof/>
            <w:webHidden/>
          </w:rPr>
          <w:fldChar w:fldCharType="end"/>
        </w:r>
      </w:hyperlink>
    </w:p>
    <w:p w14:paraId="121622EA" w14:textId="1F97D14D" w:rsidR="00D0604D" w:rsidRPr="00D0604D" w:rsidRDefault="00AD3844">
      <w:pPr>
        <w:pStyle w:val="Tablicaslika"/>
        <w:tabs>
          <w:tab w:val="right" w:leader="dot" w:pos="9628"/>
        </w:tabs>
        <w:rPr>
          <w:rFonts w:asciiTheme="minorHAnsi" w:eastAsiaTheme="minorEastAsia" w:hAnsiTheme="minorHAnsi" w:cstheme="minorBidi"/>
          <w:noProof/>
          <w:kern w:val="2"/>
          <w:sz w:val="24"/>
          <w:szCs w:val="24"/>
          <w:lang w:val="hr-HR" w:eastAsia="hr-HR"/>
          <w14:ligatures w14:val="standardContextual"/>
        </w:rPr>
      </w:pPr>
      <w:hyperlink w:anchor="_Toc219232428" w:history="1">
        <w:r w:rsidR="00D0604D" w:rsidRPr="00D0604D">
          <w:rPr>
            <w:rStyle w:val="Hiperveza"/>
            <w:rFonts w:asciiTheme="minorHAnsi" w:hAnsiTheme="minorHAnsi"/>
            <w:noProof/>
          </w:rPr>
          <w:t>Table 5: Stakeholder Influence and Engagement Priority</w:t>
        </w:r>
        <w:r w:rsidR="00D0604D" w:rsidRPr="00D0604D">
          <w:rPr>
            <w:rFonts w:asciiTheme="minorHAnsi" w:hAnsiTheme="minorHAnsi"/>
            <w:noProof/>
            <w:webHidden/>
          </w:rPr>
          <w:tab/>
        </w:r>
        <w:r w:rsidR="00D0604D" w:rsidRPr="00D0604D">
          <w:rPr>
            <w:rFonts w:asciiTheme="minorHAnsi" w:hAnsiTheme="minorHAnsi"/>
            <w:noProof/>
            <w:webHidden/>
          </w:rPr>
          <w:fldChar w:fldCharType="begin"/>
        </w:r>
        <w:r w:rsidR="00D0604D" w:rsidRPr="00D0604D">
          <w:rPr>
            <w:rFonts w:asciiTheme="minorHAnsi" w:hAnsiTheme="minorHAnsi"/>
            <w:noProof/>
            <w:webHidden/>
          </w:rPr>
          <w:instrText xml:space="preserve"> PAGEREF _Toc219232428 \h </w:instrText>
        </w:r>
        <w:r w:rsidR="00D0604D" w:rsidRPr="00D0604D">
          <w:rPr>
            <w:rFonts w:asciiTheme="minorHAnsi" w:hAnsiTheme="minorHAnsi"/>
            <w:noProof/>
            <w:webHidden/>
          </w:rPr>
        </w:r>
        <w:r w:rsidR="00D0604D" w:rsidRPr="00D0604D">
          <w:rPr>
            <w:rFonts w:asciiTheme="minorHAnsi" w:hAnsiTheme="minorHAnsi"/>
            <w:noProof/>
            <w:webHidden/>
          </w:rPr>
          <w:fldChar w:fldCharType="separate"/>
        </w:r>
        <w:r w:rsidR="00D0604D" w:rsidRPr="00D0604D">
          <w:rPr>
            <w:rFonts w:asciiTheme="minorHAnsi" w:hAnsiTheme="minorHAnsi"/>
            <w:noProof/>
            <w:webHidden/>
          </w:rPr>
          <w:t>19</w:t>
        </w:r>
        <w:r w:rsidR="00D0604D" w:rsidRPr="00D0604D">
          <w:rPr>
            <w:rFonts w:asciiTheme="minorHAnsi" w:hAnsiTheme="minorHAnsi"/>
            <w:noProof/>
            <w:webHidden/>
          </w:rPr>
          <w:fldChar w:fldCharType="end"/>
        </w:r>
      </w:hyperlink>
    </w:p>
    <w:p w14:paraId="76461EC8" w14:textId="604EDA5E" w:rsidR="00D0604D" w:rsidRPr="00D0604D" w:rsidRDefault="00AD3844">
      <w:pPr>
        <w:pStyle w:val="Tablicaslika"/>
        <w:tabs>
          <w:tab w:val="right" w:leader="dot" w:pos="9628"/>
        </w:tabs>
        <w:rPr>
          <w:rFonts w:asciiTheme="minorHAnsi" w:eastAsiaTheme="minorEastAsia" w:hAnsiTheme="minorHAnsi" w:cstheme="minorBidi"/>
          <w:noProof/>
          <w:kern w:val="2"/>
          <w:sz w:val="24"/>
          <w:szCs w:val="24"/>
          <w:lang w:val="hr-HR" w:eastAsia="hr-HR"/>
          <w14:ligatures w14:val="standardContextual"/>
        </w:rPr>
      </w:pPr>
      <w:hyperlink w:anchor="_Toc219232429" w:history="1">
        <w:r w:rsidR="00D0604D" w:rsidRPr="00D0604D">
          <w:rPr>
            <w:rStyle w:val="Hiperveza"/>
            <w:rFonts w:asciiTheme="minorHAnsi" w:hAnsiTheme="minorHAnsi"/>
            <w:noProof/>
          </w:rPr>
          <w:t>Table 6</w:t>
        </w:r>
        <w:r w:rsidR="00D0604D" w:rsidRPr="00D0604D">
          <w:rPr>
            <w:rStyle w:val="Hiperveza"/>
            <w:rFonts w:asciiTheme="minorHAnsi" w:hAnsiTheme="minorHAnsi"/>
            <w:noProof/>
            <w:lang w:eastAsia="en-GB"/>
          </w:rPr>
          <w:t xml:space="preserve">: </w:t>
        </w:r>
        <w:r w:rsidR="00D0604D" w:rsidRPr="00D0604D">
          <w:rPr>
            <w:rStyle w:val="Hiperveza"/>
            <w:rFonts w:asciiTheme="minorHAnsi" w:hAnsiTheme="minorHAnsi"/>
            <w:noProof/>
            <w:lang w:val="en-AU" w:eastAsia="en-GB"/>
          </w:rPr>
          <w:t>Strategic measures to support hydrogen development in the North-West Region</w:t>
        </w:r>
        <w:r w:rsidR="00D0604D" w:rsidRPr="00D0604D">
          <w:rPr>
            <w:rFonts w:asciiTheme="minorHAnsi" w:hAnsiTheme="minorHAnsi"/>
            <w:noProof/>
            <w:webHidden/>
          </w:rPr>
          <w:tab/>
        </w:r>
        <w:r w:rsidR="00D0604D" w:rsidRPr="00D0604D">
          <w:rPr>
            <w:rFonts w:asciiTheme="minorHAnsi" w:hAnsiTheme="minorHAnsi"/>
            <w:noProof/>
            <w:webHidden/>
          </w:rPr>
          <w:fldChar w:fldCharType="begin"/>
        </w:r>
        <w:r w:rsidR="00D0604D" w:rsidRPr="00D0604D">
          <w:rPr>
            <w:rFonts w:asciiTheme="minorHAnsi" w:hAnsiTheme="minorHAnsi"/>
            <w:noProof/>
            <w:webHidden/>
          </w:rPr>
          <w:instrText xml:space="preserve"> PAGEREF _Toc219232429 \h </w:instrText>
        </w:r>
        <w:r w:rsidR="00D0604D" w:rsidRPr="00D0604D">
          <w:rPr>
            <w:rFonts w:asciiTheme="minorHAnsi" w:hAnsiTheme="minorHAnsi"/>
            <w:noProof/>
            <w:webHidden/>
          </w:rPr>
        </w:r>
        <w:r w:rsidR="00D0604D" w:rsidRPr="00D0604D">
          <w:rPr>
            <w:rFonts w:asciiTheme="minorHAnsi" w:hAnsiTheme="minorHAnsi"/>
            <w:noProof/>
            <w:webHidden/>
          </w:rPr>
          <w:fldChar w:fldCharType="separate"/>
        </w:r>
        <w:r w:rsidR="00D0604D" w:rsidRPr="00D0604D">
          <w:rPr>
            <w:rFonts w:asciiTheme="minorHAnsi" w:hAnsiTheme="minorHAnsi"/>
            <w:noProof/>
            <w:webHidden/>
          </w:rPr>
          <w:t>29</w:t>
        </w:r>
        <w:r w:rsidR="00D0604D" w:rsidRPr="00D0604D">
          <w:rPr>
            <w:rFonts w:asciiTheme="minorHAnsi" w:hAnsiTheme="minorHAnsi"/>
            <w:noProof/>
            <w:webHidden/>
          </w:rPr>
          <w:fldChar w:fldCharType="end"/>
        </w:r>
      </w:hyperlink>
    </w:p>
    <w:p w14:paraId="7B17CC33" w14:textId="7110F8E5" w:rsidR="00D0604D" w:rsidRPr="00D0604D" w:rsidRDefault="00AD3844">
      <w:pPr>
        <w:pStyle w:val="Tablicaslika"/>
        <w:tabs>
          <w:tab w:val="right" w:leader="dot" w:pos="9628"/>
        </w:tabs>
        <w:rPr>
          <w:rFonts w:asciiTheme="minorHAnsi" w:eastAsiaTheme="minorEastAsia" w:hAnsiTheme="minorHAnsi" w:cstheme="minorBidi"/>
          <w:noProof/>
          <w:kern w:val="2"/>
          <w:sz w:val="24"/>
          <w:szCs w:val="24"/>
          <w:lang w:val="hr-HR" w:eastAsia="hr-HR"/>
          <w14:ligatures w14:val="standardContextual"/>
        </w:rPr>
      </w:pPr>
      <w:hyperlink w:anchor="_Toc219232430" w:history="1">
        <w:r w:rsidR="00D0604D" w:rsidRPr="00D0604D">
          <w:rPr>
            <w:rStyle w:val="Hiperveza"/>
            <w:rFonts w:asciiTheme="minorHAnsi" w:hAnsiTheme="minorHAnsi"/>
            <w:noProof/>
          </w:rPr>
          <w:t>Table 7</w:t>
        </w:r>
        <w:r w:rsidR="00D0604D" w:rsidRPr="00D0604D">
          <w:rPr>
            <w:rStyle w:val="Hiperveza"/>
            <w:rFonts w:asciiTheme="minorHAnsi" w:hAnsiTheme="minorHAnsi"/>
            <w:noProof/>
            <w:lang w:val="en-AU" w:eastAsia="en-GB"/>
          </w:rPr>
          <w:t>: Strategic measures to support hydrogen development in the Northern Adriatic Region</w:t>
        </w:r>
        <w:r w:rsidR="00D0604D" w:rsidRPr="00D0604D">
          <w:rPr>
            <w:rFonts w:asciiTheme="minorHAnsi" w:hAnsiTheme="minorHAnsi"/>
            <w:noProof/>
            <w:webHidden/>
          </w:rPr>
          <w:tab/>
        </w:r>
        <w:r w:rsidR="00D0604D" w:rsidRPr="00D0604D">
          <w:rPr>
            <w:rFonts w:asciiTheme="minorHAnsi" w:hAnsiTheme="minorHAnsi"/>
            <w:noProof/>
            <w:webHidden/>
          </w:rPr>
          <w:fldChar w:fldCharType="begin"/>
        </w:r>
        <w:r w:rsidR="00D0604D" w:rsidRPr="00D0604D">
          <w:rPr>
            <w:rFonts w:asciiTheme="minorHAnsi" w:hAnsiTheme="minorHAnsi"/>
            <w:noProof/>
            <w:webHidden/>
          </w:rPr>
          <w:instrText xml:space="preserve"> PAGEREF _Toc219232430 \h </w:instrText>
        </w:r>
        <w:r w:rsidR="00D0604D" w:rsidRPr="00D0604D">
          <w:rPr>
            <w:rFonts w:asciiTheme="minorHAnsi" w:hAnsiTheme="minorHAnsi"/>
            <w:noProof/>
            <w:webHidden/>
          </w:rPr>
        </w:r>
        <w:r w:rsidR="00D0604D" w:rsidRPr="00D0604D">
          <w:rPr>
            <w:rFonts w:asciiTheme="minorHAnsi" w:hAnsiTheme="minorHAnsi"/>
            <w:noProof/>
            <w:webHidden/>
          </w:rPr>
          <w:fldChar w:fldCharType="separate"/>
        </w:r>
        <w:r w:rsidR="00D0604D" w:rsidRPr="00D0604D">
          <w:rPr>
            <w:rFonts w:asciiTheme="minorHAnsi" w:hAnsiTheme="minorHAnsi"/>
            <w:noProof/>
            <w:webHidden/>
          </w:rPr>
          <w:t>31</w:t>
        </w:r>
        <w:r w:rsidR="00D0604D" w:rsidRPr="00D0604D">
          <w:rPr>
            <w:rFonts w:asciiTheme="minorHAnsi" w:hAnsiTheme="minorHAnsi"/>
            <w:noProof/>
            <w:webHidden/>
          </w:rPr>
          <w:fldChar w:fldCharType="end"/>
        </w:r>
      </w:hyperlink>
    </w:p>
    <w:p w14:paraId="23024451" w14:textId="5B01AFF2" w:rsidR="00941C4C" w:rsidRPr="00D0604D" w:rsidRDefault="00941C4C">
      <w:pPr>
        <w:spacing w:before="0" w:line="240" w:lineRule="auto"/>
        <w:ind w:left="0" w:right="0"/>
        <w:jc w:val="left"/>
        <w:rPr>
          <w:rFonts w:asciiTheme="minorHAnsi" w:hAnsiTheme="minorHAnsi"/>
          <w:sz w:val="28"/>
          <w:szCs w:val="28"/>
        </w:rPr>
      </w:pPr>
      <w:r w:rsidRPr="00D0604D">
        <w:rPr>
          <w:rFonts w:asciiTheme="minorHAnsi" w:hAnsiTheme="minorHAnsi"/>
          <w:sz w:val="28"/>
          <w:szCs w:val="28"/>
        </w:rPr>
        <w:fldChar w:fldCharType="end"/>
      </w:r>
    </w:p>
    <w:p w14:paraId="5F4605EE" w14:textId="35DFB623" w:rsidR="00D56DE6" w:rsidRPr="00D56DE6" w:rsidRDefault="00D56DE6" w:rsidP="00D56DE6">
      <w:pPr>
        <w:ind w:left="0" w:right="0"/>
        <w:rPr>
          <w:rFonts w:ascii="Trebuchet MS" w:hAnsi="Trebuchet MS"/>
          <w:color w:val="708792" w:themeColor="background2"/>
          <w:sz w:val="28"/>
          <w:szCs w:val="18"/>
        </w:rPr>
      </w:pPr>
      <w:r>
        <w:rPr>
          <w:rFonts w:ascii="Trebuchet MS" w:hAnsi="Trebuchet MS"/>
          <w:color w:val="708792" w:themeColor="background2"/>
          <w:sz w:val="28"/>
          <w:szCs w:val="18"/>
        </w:rPr>
        <w:t>List of figures</w:t>
      </w:r>
      <w:r w:rsidRPr="00D56DE6">
        <w:rPr>
          <w:rFonts w:ascii="Trebuchet MS" w:hAnsi="Trebuchet MS"/>
          <w:color w:val="708792" w:themeColor="background2"/>
          <w:sz w:val="28"/>
          <w:szCs w:val="18"/>
        </w:rPr>
        <w:t xml:space="preserve"> </w:t>
      </w:r>
    </w:p>
    <w:p w14:paraId="061B4580" w14:textId="77777777" w:rsidR="00D56DE6" w:rsidRPr="00D56DE6" w:rsidRDefault="00D56DE6">
      <w:pPr>
        <w:pStyle w:val="Tablicaslika"/>
        <w:tabs>
          <w:tab w:val="right" w:leader="dot" w:pos="9628"/>
        </w:tabs>
        <w:rPr>
          <w:rFonts w:asciiTheme="minorHAnsi" w:hAnsiTheme="minorHAnsi"/>
          <w:sz w:val="28"/>
          <w:szCs w:val="28"/>
        </w:rPr>
      </w:pPr>
    </w:p>
    <w:p w14:paraId="5C77C9D3" w14:textId="1E77530C" w:rsidR="00D0604D" w:rsidRPr="00D0604D" w:rsidRDefault="00941C4C">
      <w:pPr>
        <w:pStyle w:val="Tablicaslika"/>
        <w:tabs>
          <w:tab w:val="right" w:leader="dot" w:pos="9628"/>
        </w:tabs>
        <w:rPr>
          <w:rFonts w:asciiTheme="minorHAnsi" w:eastAsiaTheme="minorEastAsia" w:hAnsiTheme="minorHAnsi" w:cstheme="minorBidi"/>
          <w:noProof/>
          <w:kern w:val="2"/>
          <w:sz w:val="24"/>
          <w:szCs w:val="24"/>
          <w:lang w:val="hr-HR" w:eastAsia="hr-HR"/>
          <w14:ligatures w14:val="standardContextual"/>
        </w:rPr>
      </w:pPr>
      <w:r w:rsidRPr="00D0604D">
        <w:rPr>
          <w:rFonts w:asciiTheme="minorHAnsi" w:hAnsiTheme="minorHAnsi"/>
          <w:sz w:val="28"/>
          <w:szCs w:val="28"/>
        </w:rPr>
        <w:fldChar w:fldCharType="begin"/>
      </w:r>
      <w:r w:rsidRPr="00D0604D">
        <w:rPr>
          <w:rFonts w:asciiTheme="minorHAnsi" w:hAnsiTheme="minorHAnsi"/>
          <w:sz w:val="28"/>
          <w:szCs w:val="28"/>
        </w:rPr>
        <w:instrText xml:space="preserve"> TOC \h \z \c "Figure" </w:instrText>
      </w:r>
      <w:r w:rsidRPr="00D0604D">
        <w:rPr>
          <w:rFonts w:asciiTheme="minorHAnsi" w:hAnsiTheme="minorHAnsi"/>
          <w:sz w:val="28"/>
          <w:szCs w:val="28"/>
        </w:rPr>
        <w:fldChar w:fldCharType="separate"/>
      </w:r>
      <w:hyperlink w:anchor="_Toc219232431" w:history="1">
        <w:r w:rsidR="00D0604D" w:rsidRPr="00D0604D">
          <w:rPr>
            <w:rStyle w:val="Hiperveza"/>
            <w:rFonts w:asciiTheme="minorHAnsi" w:hAnsiTheme="minorHAnsi"/>
            <w:noProof/>
          </w:rPr>
          <w:t>Figure 1</w:t>
        </w:r>
        <w:r w:rsidR="00D0604D" w:rsidRPr="00D0604D">
          <w:rPr>
            <w:rStyle w:val="Hiperveza"/>
            <w:rFonts w:asciiTheme="minorHAnsi" w:eastAsia="Trebuchet MS" w:hAnsiTheme="minorHAnsi" w:cs="Trebuchet MS"/>
            <w:noProof/>
          </w:rPr>
          <w:t>: Overview of Working Package 1</w:t>
        </w:r>
        <w:r w:rsidR="00D0604D" w:rsidRPr="00D0604D">
          <w:rPr>
            <w:rFonts w:asciiTheme="minorHAnsi" w:hAnsiTheme="minorHAnsi"/>
            <w:noProof/>
            <w:webHidden/>
          </w:rPr>
          <w:tab/>
        </w:r>
        <w:r w:rsidR="00D0604D" w:rsidRPr="00D0604D">
          <w:rPr>
            <w:rFonts w:asciiTheme="minorHAnsi" w:hAnsiTheme="minorHAnsi"/>
            <w:noProof/>
            <w:webHidden/>
          </w:rPr>
          <w:fldChar w:fldCharType="begin"/>
        </w:r>
        <w:r w:rsidR="00D0604D" w:rsidRPr="00D0604D">
          <w:rPr>
            <w:rFonts w:asciiTheme="minorHAnsi" w:hAnsiTheme="minorHAnsi"/>
            <w:noProof/>
            <w:webHidden/>
          </w:rPr>
          <w:instrText xml:space="preserve"> PAGEREF _Toc219232431 \h </w:instrText>
        </w:r>
        <w:r w:rsidR="00D0604D" w:rsidRPr="00D0604D">
          <w:rPr>
            <w:rFonts w:asciiTheme="minorHAnsi" w:hAnsiTheme="minorHAnsi"/>
            <w:noProof/>
            <w:webHidden/>
          </w:rPr>
        </w:r>
        <w:r w:rsidR="00D0604D" w:rsidRPr="00D0604D">
          <w:rPr>
            <w:rFonts w:asciiTheme="minorHAnsi" w:hAnsiTheme="minorHAnsi"/>
            <w:noProof/>
            <w:webHidden/>
          </w:rPr>
          <w:fldChar w:fldCharType="separate"/>
        </w:r>
        <w:r w:rsidR="00D0604D" w:rsidRPr="00D0604D">
          <w:rPr>
            <w:rFonts w:asciiTheme="minorHAnsi" w:hAnsiTheme="minorHAnsi"/>
            <w:noProof/>
            <w:webHidden/>
          </w:rPr>
          <w:t>5</w:t>
        </w:r>
        <w:r w:rsidR="00D0604D" w:rsidRPr="00D0604D">
          <w:rPr>
            <w:rFonts w:asciiTheme="minorHAnsi" w:hAnsiTheme="minorHAnsi"/>
            <w:noProof/>
            <w:webHidden/>
          </w:rPr>
          <w:fldChar w:fldCharType="end"/>
        </w:r>
      </w:hyperlink>
    </w:p>
    <w:p w14:paraId="7A86959D" w14:textId="0BE55C02" w:rsidR="00D0604D" w:rsidRPr="00D0604D" w:rsidRDefault="00AD3844">
      <w:pPr>
        <w:pStyle w:val="Tablicaslika"/>
        <w:tabs>
          <w:tab w:val="right" w:leader="dot" w:pos="9628"/>
        </w:tabs>
        <w:rPr>
          <w:rFonts w:asciiTheme="minorHAnsi" w:eastAsiaTheme="minorEastAsia" w:hAnsiTheme="minorHAnsi" w:cstheme="minorBidi"/>
          <w:noProof/>
          <w:kern w:val="2"/>
          <w:sz w:val="24"/>
          <w:szCs w:val="24"/>
          <w:lang w:val="hr-HR" w:eastAsia="hr-HR"/>
          <w14:ligatures w14:val="standardContextual"/>
        </w:rPr>
      </w:pPr>
      <w:hyperlink w:anchor="_Toc219232432" w:history="1">
        <w:r w:rsidR="00D0604D" w:rsidRPr="00D0604D">
          <w:rPr>
            <w:rStyle w:val="Hiperveza"/>
            <w:rFonts w:asciiTheme="minorHAnsi" w:hAnsiTheme="minorHAnsi"/>
            <w:noProof/>
          </w:rPr>
          <w:t xml:space="preserve">Figure 2: </w:t>
        </w:r>
        <w:r w:rsidR="00D0604D" w:rsidRPr="00D0604D">
          <w:rPr>
            <w:rStyle w:val="Hiperveza"/>
            <w:rFonts w:asciiTheme="minorHAnsi" w:hAnsiTheme="minorHAnsi"/>
            <w:noProof/>
            <w:lang w:val="en-AU" w:eastAsia="en-GB"/>
          </w:rPr>
          <w:t>Regions of Republic of Croatia</w:t>
        </w:r>
        <w:r w:rsidR="00D0604D" w:rsidRPr="00D0604D">
          <w:rPr>
            <w:rFonts w:asciiTheme="minorHAnsi" w:hAnsiTheme="minorHAnsi"/>
            <w:noProof/>
            <w:webHidden/>
          </w:rPr>
          <w:tab/>
        </w:r>
        <w:r w:rsidR="00D0604D" w:rsidRPr="00D0604D">
          <w:rPr>
            <w:rFonts w:asciiTheme="minorHAnsi" w:hAnsiTheme="minorHAnsi"/>
            <w:noProof/>
            <w:webHidden/>
          </w:rPr>
          <w:fldChar w:fldCharType="begin"/>
        </w:r>
        <w:r w:rsidR="00D0604D" w:rsidRPr="00D0604D">
          <w:rPr>
            <w:rFonts w:asciiTheme="minorHAnsi" w:hAnsiTheme="minorHAnsi"/>
            <w:noProof/>
            <w:webHidden/>
          </w:rPr>
          <w:instrText xml:space="preserve"> PAGEREF _Toc219232432 \h </w:instrText>
        </w:r>
        <w:r w:rsidR="00D0604D" w:rsidRPr="00D0604D">
          <w:rPr>
            <w:rFonts w:asciiTheme="minorHAnsi" w:hAnsiTheme="minorHAnsi"/>
            <w:noProof/>
            <w:webHidden/>
          </w:rPr>
        </w:r>
        <w:r w:rsidR="00D0604D" w:rsidRPr="00D0604D">
          <w:rPr>
            <w:rFonts w:asciiTheme="minorHAnsi" w:hAnsiTheme="minorHAnsi"/>
            <w:noProof/>
            <w:webHidden/>
          </w:rPr>
          <w:fldChar w:fldCharType="separate"/>
        </w:r>
        <w:r w:rsidR="00D0604D" w:rsidRPr="00D0604D">
          <w:rPr>
            <w:rFonts w:asciiTheme="minorHAnsi" w:hAnsiTheme="minorHAnsi"/>
            <w:noProof/>
            <w:webHidden/>
          </w:rPr>
          <w:t>20</w:t>
        </w:r>
        <w:r w:rsidR="00D0604D" w:rsidRPr="00D0604D">
          <w:rPr>
            <w:rFonts w:asciiTheme="minorHAnsi" w:hAnsiTheme="minorHAnsi"/>
            <w:noProof/>
            <w:webHidden/>
          </w:rPr>
          <w:fldChar w:fldCharType="end"/>
        </w:r>
      </w:hyperlink>
    </w:p>
    <w:p w14:paraId="11062F54" w14:textId="1826B2CE" w:rsidR="00941C4C" w:rsidRPr="00D0604D" w:rsidRDefault="00941C4C" w:rsidP="00941C4C">
      <w:pPr>
        <w:pStyle w:val="Opisslike"/>
        <w:rPr>
          <w:rFonts w:asciiTheme="minorHAnsi" w:hAnsiTheme="minorHAnsi"/>
          <w:b/>
          <w:bCs/>
          <w:iCs w:val="0"/>
          <w:noProof/>
          <w:color w:val="708792" w:themeColor="background2"/>
          <w:spacing w:val="-10"/>
          <w:sz w:val="28"/>
          <w:szCs w:val="28"/>
          <w:lang w:eastAsia="de-AT"/>
        </w:rPr>
      </w:pPr>
      <w:r w:rsidRPr="00D0604D">
        <w:rPr>
          <w:rFonts w:asciiTheme="minorHAnsi" w:hAnsiTheme="minorHAnsi"/>
          <w:sz w:val="28"/>
          <w:szCs w:val="28"/>
        </w:rPr>
        <w:fldChar w:fldCharType="end"/>
      </w:r>
      <w:r w:rsidRPr="00D0604D">
        <w:rPr>
          <w:rFonts w:asciiTheme="minorHAnsi" w:hAnsiTheme="minorHAnsi"/>
          <w:sz w:val="28"/>
          <w:szCs w:val="28"/>
        </w:rPr>
        <w:br w:type="page"/>
      </w:r>
    </w:p>
    <w:p w14:paraId="15A7F593" w14:textId="054FFE75" w:rsidR="003B7AAE" w:rsidRDefault="005D2055" w:rsidP="003B7AAE">
      <w:pPr>
        <w:pStyle w:val="CE-Headline1"/>
        <w:numPr>
          <w:ilvl w:val="0"/>
          <w:numId w:val="0"/>
        </w:numPr>
        <w:rPr>
          <w:sz w:val="28"/>
          <w:szCs w:val="28"/>
        </w:rPr>
      </w:pPr>
      <w:bookmarkStart w:id="1" w:name="_Toc219232391"/>
      <w:r>
        <w:rPr>
          <w:sz w:val="28"/>
          <w:szCs w:val="28"/>
        </w:rPr>
        <w:lastRenderedPageBreak/>
        <w:t xml:space="preserve">1. </w:t>
      </w:r>
      <w:r w:rsidR="00EB1054" w:rsidRPr="008F1A56">
        <w:rPr>
          <w:sz w:val="28"/>
          <w:szCs w:val="28"/>
        </w:rPr>
        <w:t>Introduction</w:t>
      </w:r>
      <w:bookmarkEnd w:id="1"/>
    </w:p>
    <w:p w14:paraId="52E42F76" w14:textId="1B73B35A" w:rsidR="00207B6F" w:rsidRPr="00207B6F" w:rsidRDefault="00207B6F" w:rsidP="00500027">
      <w:pPr>
        <w:spacing w:before="100" w:beforeAutospacing="1" w:after="100" w:afterAutospacing="1"/>
        <w:ind w:left="0" w:right="0"/>
        <w:rPr>
          <w:rFonts w:asciiTheme="minorHAnsi" w:hAnsiTheme="minorHAnsi"/>
          <w:lang w:val="en-AU" w:eastAsia="hr-HR"/>
        </w:rPr>
      </w:pPr>
      <w:r w:rsidRPr="00207B6F">
        <w:rPr>
          <w:rFonts w:asciiTheme="minorHAnsi" w:hAnsiTheme="minorHAnsi"/>
          <w:lang w:val="en-AU" w:eastAsia="hr-HR"/>
        </w:rPr>
        <w:t xml:space="preserve">The </w:t>
      </w:r>
      <w:r w:rsidRPr="00207B6F">
        <w:rPr>
          <w:rFonts w:asciiTheme="minorHAnsi" w:hAnsiTheme="minorHAnsi"/>
          <w:b/>
          <w:bCs/>
          <w:lang w:val="en-AU" w:eastAsia="hr-HR"/>
        </w:rPr>
        <w:t>Interregional Strategy in Croatia</w:t>
      </w:r>
      <w:r w:rsidRPr="00207B6F">
        <w:rPr>
          <w:rFonts w:asciiTheme="minorHAnsi" w:hAnsiTheme="minorHAnsi"/>
          <w:lang w:val="en-AU" w:eastAsia="hr-HR"/>
        </w:rPr>
        <w:t xml:space="preserve"> is a collaborative initiative developed by the City of Zagreb and the Regional Energy and Climate Agency (REGEA), with expert guidance from Prof. Ankica Kovač. This strategy aims to provide a comprehensive framework for Croatian regions to navigate the complexities of hydrogen regulation, infrastructure development, and funding mechanisms, fostering collaboration across regional boundaries.</w:t>
      </w:r>
    </w:p>
    <w:p w14:paraId="16FDB4A9" w14:textId="77777777" w:rsidR="00207B6F" w:rsidRPr="00207B6F" w:rsidRDefault="00207B6F" w:rsidP="00500027">
      <w:pPr>
        <w:spacing w:before="100" w:beforeAutospacing="1" w:after="100" w:afterAutospacing="1"/>
        <w:ind w:left="0" w:right="0"/>
        <w:rPr>
          <w:rFonts w:asciiTheme="minorHAnsi" w:hAnsiTheme="minorHAnsi"/>
          <w:lang w:val="en-AU" w:eastAsia="hr-HR"/>
        </w:rPr>
      </w:pPr>
      <w:r w:rsidRPr="00207B6F">
        <w:rPr>
          <w:rFonts w:asciiTheme="minorHAnsi" w:hAnsiTheme="minorHAnsi"/>
          <w:lang w:val="en-AU" w:eastAsia="hr-HR"/>
        </w:rPr>
        <w:t>In the context of Interreg, "interregional" refers to cooperation between multiple regions within Croatia and across neighboring countries. The strategy focuses on shared challenges that require joint solutions, such as hydrogen infrastructure development and regulatory alignment. Projects like H2CE exemplify this approach by connecting regions with aligned planning priorities, enabling coordinated action for hydrogen deployment.</w:t>
      </w:r>
    </w:p>
    <w:p w14:paraId="1E08755D" w14:textId="55B2F52F" w:rsidR="00207B6F" w:rsidRPr="00207B6F" w:rsidRDefault="00207B6F" w:rsidP="00500027">
      <w:pPr>
        <w:spacing w:before="100" w:beforeAutospacing="1" w:after="100" w:afterAutospacing="1"/>
        <w:ind w:left="0" w:right="0"/>
        <w:rPr>
          <w:rFonts w:asciiTheme="minorHAnsi" w:hAnsiTheme="minorHAnsi"/>
          <w:lang w:val="en-AU" w:eastAsia="hr-HR"/>
        </w:rPr>
      </w:pPr>
      <w:r w:rsidRPr="00207B6F">
        <w:rPr>
          <w:rFonts w:asciiTheme="minorHAnsi" w:hAnsiTheme="minorHAnsi"/>
          <w:lang w:val="en-AU" w:eastAsia="hr-HR"/>
        </w:rPr>
        <w:t xml:space="preserve">Prof. Ankica Kovač, a leading expert in green hydrogen, has been instrumental in shaping Croatia's hydrogen landscape. As an Associate Professor at the University of Zagreb's Faculty of Mechanical Engineering and Naval Architecture, she leads the </w:t>
      </w:r>
      <w:r w:rsidR="00307636">
        <w:rPr>
          <w:rFonts w:asciiTheme="minorHAnsi" w:hAnsiTheme="minorHAnsi"/>
          <w:lang w:val="en-AU" w:eastAsia="hr-HR"/>
        </w:rPr>
        <w:t xml:space="preserve">Hydrogen and Fuel Cell Laboratory and the </w:t>
      </w:r>
      <w:r w:rsidRPr="00207B6F">
        <w:rPr>
          <w:rFonts w:asciiTheme="minorHAnsi" w:hAnsiTheme="minorHAnsi"/>
          <w:lang w:val="en-AU" w:eastAsia="hr-HR"/>
        </w:rPr>
        <w:t>Power Engineering Laboratory and has significantly contributed to the development of the Croatian Hydrogen Strategy. Her innovative work includes designing Croatia's first hydrogen-powered bicycle and establishing the nation's first hydrogen refueling station. Prof. Kovač's expertise is recognized internationally, and she serves as a representative of Croatia in various hydrogen-related organizations, including Hydrogen Europe Research and the International Energy Agency's Collaboration Programme on Advanced Fuel Cells.</w:t>
      </w:r>
    </w:p>
    <w:p w14:paraId="458B2C94" w14:textId="77777777" w:rsidR="00207B6F" w:rsidRPr="00207B6F" w:rsidRDefault="00207B6F" w:rsidP="00500027">
      <w:pPr>
        <w:spacing w:before="100" w:beforeAutospacing="1" w:after="100" w:afterAutospacing="1"/>
        <w:ind w:left="0" w:right="0"/>
        <w:rPr>
          <w:rFonts w:asciiTheme="minorHAnsi" w:hAnsiTheme="minorHAnsi"/>
          <w:lang w:val="en-AU" w:eastAsia="hr-HR"/>
        </w:rPr>
      </w:pPr>
      <w:r w:rsidRPr="00207B6F">
        <w:rPr>
          <w:rFonts w:asciiTheme="minorHAnsi" w:hAnsiTheme="minorHAnsi"/>
          <w:lang w:val="en-AU" w:eastAsia="hr-HR"/>
        </w:rPr>
        <w:t xml:space="preserve">Furthermore, Prof. Kovač is an active member of the </w:t>
      </w:r>
      <w:r w:rsidRPr="00207B6F">
        <w:rPr>
          <w:rFonts w:asciiTheme="minorHAnsi" w:hAnsiTheme="minorHAnsi"/>
          <w:b/>
          <w:bCs/>
          <w:lang w:val="en-AU" w:eastAsia="hr-HR"/>
        </w:rPr>
        <w:t>Women in Hydrogen</w:t>
      </w:r>
      <w:r w:rsidRPr="00207B6F">
        <w:rPr>
          <w:rFonts w:asciiTheme="minorHAnsi" w:hAnsiTheme="minorHAnsi"/>
          <w:lang w:val="en-AU" w:eastAsia="hr-HR"/>
        </w:rPr>
        <w:t xml:space="preserve"> network, an international platform dedicated to promoting gender diversity and empowering women in the hydrogen sector. Her involvement in this network underscores her commitment to fostering inclusive and collaborative approaches to hydrogen development. By supporting initiatives like the Interregional Strategy, Prof. Kovač contributes to creating a more equitable and innovative hydrogen ecosystem in Croatia and beyond.</w:t>
      </w:r>
    </w:p>
    <w:p w14:paraId="1B530F72" w14:textId="1138B98B" w:rsidR="00207B6F" w:rsidRDefault="00207B6F" w:rsidP="00500027">
      <w:pPr>
        <w:spacing w:before="100" w:beforeAutospacing="1" w:after="100" w:afterAutospacing="1"/>
        <w:ind w:left="0" w:right="0"/>
      </w:pPr>
      <w:r w:rsidRPr="00207B6F">
        <w:rPr>
          <w:rFonts w:asciiTheme="minorHAnsi" w:hAnsiTheme="minorHAnsi"/>
          <w:lang w:val="en-AU" w:eastAsia="hr-HR"/>
        </w:rPr>
        <w:t>Her involvement ensures that the Interregional Strategy is grounded in scientific research and practical experience, providing Croatian regions with the knowledge and tools necessary to advance hydrogen initiatives effectively.</w:t>
      </w:r>
    </w:p>
    <w:p w14:paraId="6FC29960" w14:textId="379B6326" w:rsidR="00A7599B" w:rsidRDefault="003B41CF" w:rsidP="003B41CF">
      <w:pPr>
        <w:pStyle w:val="CE-Headline2"/>
        <w:rPr>
          <w:rFonts w:eastAsiaTheme="majorEastAsia"/>
        </w:rPr>
      </w:pPr>
      <w:bookmarkStart w:id="2" w:name="_Toc219232392"/>
      <w:r>
        <w:rPr>
          <w:rFonts w:eastAsiaTheme="majorEastAsia"/>
        </w:rPr>
        <w:t>H2CE project</w:t>
      </w:r>
      <w:bookmarkEnd w:id="2"/>
    </w:p>
    <w:p w14:paraId="7BA8109F" w14:textId="1E7A6E77" w:rsidR="003B7AAE" w:rsidRPr="003B7AAE" w:rsidRDefault="003B7AAE" w:rsidP="00500027">
      <w:pPr>
        <w:spacing w:before="100" w:beforeAutospacing="1" w:after="100" w:afterAutospacing="1"/>
        <w:ind w:left="0" w:right="0"/>
        <w:rPr>
          <w:rFonts w:asciiTheme="minorHAnsi" w:hAnsiTheme="minorHAnsi"/>
          <w:lang w:val="en-AU" w:eastAsia="hr-HR"/>
        </w:rPr>
      </w:pPr>
      <w:r w:rsidRPr="003B7AAE">
        <w:rPr>
          <w:rFonts w:asciiTheme="minorHAnsi" w:hAnsiTheme="minorHAnsi"/>
          <w:lang w:val="en-AU" w:eastAsia="hr-HR"/>
        </w:rPr>
        <w:t xml:space="preserve">The Interreg Project </w:t>
      </w:r>
      <w:r w:rsidRPr="003B7AAE">
        <w:rPr>
          <w:rFonts w:asciiTheme="minorHAnsi" w:hAnsiTheme="minorHAnsi"/>
          <w:b/>
          <w:bCs/>
          <w:lang w:val="en-AU" w:eastAsia="hr-HR"/>
        </w:rPr>
        <w:t>H2CE</w:t>
      </w:r>
      <w:r w:rsidRPr="003B7AAE">
        <w:rPr>
          <w:rFonts w:asciiTheme="minorHAnsi" w:hAnsiTheme="minorHAnsi"/>
          <w:lang w:val="en-AU" w:eastAsia="hr-HR"/>
        </w:rPr>
        <w:t xml:space="preserve"> addresses the challenge of integrating hydrogen solutions and renewable energy </w:t>
      </w:r>
      <w:r w:rsidR="003278FB">
        <w:rPr>
          <w:rFonts w:asciiTheme="minorHAnsi" w:hAnsiTheme="minorHAnsi"/>
          <w:lang w:val="en-AU" w:eastAsia="hr-HR"/>
        </w:rPr>
        <w:t xml:space="preserve">sources </w:t>
      </w:r>
      <w:r w:rsidRPr="003B7AAE">
        <w:rPr>
          <w:rFonts w:asciiTheme="minorHAnsi" w:hAnsiTheme="minorHAnsi"/>
          <w:lang w:val="en-AU" w:eastAsia="hr-HR"/>
        </w:rPr>
        <w:t>into the regional energy transition. To date, available information and support have primarily targeted project developers and industry stakeholders, while public authorities are often perceived as passive framework setters. Their expertise, mandate, and decision-making power hold significant potential to actively drive transformation.</w:t>
      </w:r>
    </w:p>
    <w:p w14:paraId="7992A4B6" w14:textId="77777777" w:rsidR="003B7AAE" w:rsidRPr="003B7AAE" w:rsidRDefault="003B7AAE" w:rsidP="00500027">
      <w:pPr>
        <w:spacing w:before="100" w:beforeAutospacing="1" w:after="100" w:afterAutospacing="1"/>
        <w:ind w:left="0" w:right="0"/>
        <w:rPr>
          <w:rFonts w:asciiTheme="minorHAnsi" w:hAnsiTheme="minorHAnsi"/>
          <w:lang w:val="en-AU" w:eastAsia="hr-HR"/>
        </w:rPr>
      </w:pPr>
      <w:r w:rsidRPr="003B7AAE">
        <w:rPr>
          <w:rFonts w:asciiTheme="minorHAnsi" w:hAnsiTheme="minorHAnsi"/>
          <w:lang w:val="en-AU" w:eastAsia="hr-HR"/>
        </w:rPr>
        <w:t>H2CE aims to empower public authorities and administrations across Central Europe (CE) to take a proactive and sustainable role in incorporating hydrogen into regional planning and development. This approach is expected to accelerate the deployment of hydrogen infrastructure and enhance the effectiveness of available funding.</w:t>
      </w:r>
    </w:p>
    <w:p w14:paraId="09C5CB30" w14:textId="77777777" w:rsidR="003B7AAE" w:rsidRPr="003B7AAE" w:rsidRDefault="003B7AAE" w:rsidP="00500027">
      <w:pPr>
        <w:spacing w:before="100" w:beforeAutospacing="1" w:after="100" w:afterAutospacing="1"/>
        <w:ind w:left="0" w:right="0"/>
        <w:jc w:val="left"/>
        <w:rPr>
          <w:rFonts w:asciiTheme="minorHAnsi" w:hAnsiTheme="minorHAnsi"/>
          <w:lang w:eastAsia="hr-HR"/>
        </w:rPr>
      </w:pPr>
      <w:r w:rsidRPr="003B7AAE">
        <w:rPr>
          <w:rFonts w:asciiTheme="minorHAnsi" w:hAnsiTheme="minorHAnsi"/>
          <w:lang w:eastAsia="hr-HR"/>
        </w:rPr>
        <w:t>The project’s main expected outcomes include:</w:t>
      </w:r>
    </w:p>
    <w:p w14:paraId="0410A7AA" w14:textId="151571E6" w:rsidR="003B7AAE" w:rsidRPr="003B7AAE" w:rsidRDefault="003B7AAE" w:rsidP="00500027">
      <w:pPr>
        <w:numPr>
          <w:ilvl w:val="0"/>
          <w:numId w:val="49"/>
        </w:numPr>
        <w:spacing w:before="100" w:beforeAutospacing="1" w:after="100" w:afterAutospacing="1"/>
        <w:ind w:right="0"/>
        <w:jc w:val="left"/>
        <w:rPr>
          <w:rFonts w:asciiTheme="minorHAnsi" w:hAnsiTheme="minorHAnsi"/>
          <w:lang w:eastAsia="hr-HR"/>
        </w:rPr>
      </w:pPr>
      <w:r w:rsidRPr="003B7AAE">
        <w:rPr>
          <w:rFonts w:asciiTheme="minorHAnsi" w:hAnsiTheme="minorHAnsi"/>
          <w:lang w:eastAsia="hr-HR"/>
        </w:rPr>
        <w:lastRenderedPageBreak/>
        <w:t>Mechanisms enabling regional decision-makers to actively support the hydrogen-based energy transition.</w:t>
      </w:r>
    </w:p>
    <w:p w14:paraId="0DFCD337" w14:textId="30B7EFD5" w:rsidR="003B7AAE" w:rsidRPr="003B7AAE" w:rsidRDefault="003B7AAE" w:rsidP="00500027">
      <w:pPr>
        <w:numPr>
          <w:ilvl w:val="0"/>
          <w:numId w:val="49"/>
        </w:numPr>
        <w:spacing w:before="100" w:beforeAutospacing="1" w:after="100" w:afterAutospacing="1"/>
        <w:ind w:right="0"/>
        <w:jc w:val="left"/>
        <w:rPr>
          <w:rFonts w:asciiTheme="minorHAnsi" w:hAnsiTheme="minorHAnsi"/>
          <w:lang w:eastAsia="hr-HR"/>
        </w:rPr>
      </w:pPr>
      <w:r w:rsidRPr="003B7AAE">
        <w:rPr>
          <w:rFonts w:asciiTheme="minorHAnsi" w:hAnsiTheme="minorHAnsi"/>
          <w:lang w:eastAsia="hr-HR"/>
        </w:rPr>
        <w:t>The establishment of a cross-regional and transnational network of H2-ready regions.</w:t>
      </w:r>
    </w:p>
    <w:p w14:paraId="373FB022" w14:textId="77777777" w:rsidR="003B7AAE" w:rsidRPr="003B7AAE" w:rsidRDefault="003B7AAE" w:rsidP="00500027">
      <w:pPr>
        <w:numPr>
          <w:ilvl w:val="0"/>
          <w:numId w:val="49"/>
        </w:numPr>
        <w:spacing w:before="100" w:beforeAutospacing="1" w:after="100" w:afterAutospacing="1"/>
        <w:ind w:right="0"/>
        <w:jc w:val="left"/>
        <w:rPr>
          <w:rFonts w:asciiTheme="minorHAnsi" w:hAnsiTheme="minorHAnsi"/>
          <w:lang w:eastAsia="hr-HR"/>
        </w:rPr>
      </w:pPr>
      <w:r w:rsidRPr="003B7AAE">
        <w:rPr>
          <w:rFonts w:asciiTheme="minorHAnsi" w:hAnsiTheme="minorHAnsi"/>
          <w:lang w:eastAsia="hr-HR"/>
        </w:rPr>
        <w:t>The development of a digital collaboration platform for knowledge sharing and coordination.</w:t>
      </w:r>
    </w:p>
    <w:p w14:paraId="2154E950" w14:textId="77777777" w:rsidR="003B7AAE" w:rsidRPr="003B7AAE" w:rsidRDefault="003B7AAE" w:rsidP="00500027">
      <w:pPr>
        <w:spacing w:before="100" w:beforeAutospacing="1" w:after="100" w:afterAutospacing="1"/>
        <w:ind w:left="0" w:right="0"/>
        <w:rPr>
          <w:rFonts w:asciiTheme="minorHAnsi" w:hAnsiTheme="minorHAnsi"/>
          <w:lang w:eastAsia="hr-HR"/>
        </w:rPr>
      </w:pPr>
      <w:r w:rsidRPr="003B7AAE">
        <w:rPr>
          <w:rFonts w:asciiTheme="minorHAnsi" w:hAnsiTheme="minorHAnsi"/>
          <w:lang w:eastAsia="hr-HR"/>
        </w:rPr>
        <w:t>The project partnership comprises regions and organizations from seven Central European countries, including: the Regional Development Agency Northwestern-Brandenburg, City and Regional Utilities Luebben, Energy Agency of Styria, Foundation “Dumni z Lubina”, Institute for Transport and Logistics Foundation, Regional Union of Chambers of Commerce of Veneto Region, the Pomorskie Voivodeship, Economic and Social Council of the Ústí region, City of Zagreb, North-West Croatia Regional Energy and Climate Agency, and the Institute for Public Service Development. All project partners are regional authorities or their representatives, ensuring effective coordination, development, and implementation of project outcomes. Their commitment and authority are essential to advancing the regional energy transition and supporting the hydrogen agenda.</w:t>
      </w:r>
    </w:p>
    <w:p w14:paraId="51875730" w14:textId="77777777" w:rsidR="003B7AAE" w:rsidRPr="003B7AAE" w:rsidRDefault="003B7AAE" w:rsidP="00500027">
      <w:pPr>
        <w:spacing w:before="100" w:beforeAutospacing="1" w:after="100" w:afterAutospacing="1"/>
        <w:ind w:left="0" w:right="0"/>
        <w:jc w:val="left"/>
        <w:rPr>
          <w:rFonts w:asciiTheme="minorHAnsi" w:hAnsiTheme="minorHAnsi" w:cs="Calibri"/>
          <w:lang w:val="en-AU" w:eastAsia="hr-HR"/>
        </w:rPr>
      </w:pPr>
      <w:r w:rsidRPr="003B7AAE">
        <w:rPr>
          <w:rFonts w:asciiTheme="minorHAnsi" w:hAnsiTheme="minorHAnsi" w:cs="Calibri"/>
          <w:lang w:val="en-AU" w:eastAsia="hr-HR"/>
        </w:rPr>
        <w:t xml:space="preserve">H2CE is structured into three </w:t>
      </w:r>
      <w:r w:rsidRPr="003B7AAE">
        <w:rPr>
          <w:rFonts w:asciiTheme="minorHAnsi" w:hAnsiTheme="minorHAnsi" w:cs="Calibri"/>
          <w:b/>
          <w:bCs/>
          <w:lang w:val="en-AU" w:eastAsia="hr-HR"/>
        </w:rPr>
        <w:t>Working Packages (WP):</w:t>
      </w:r>
    </w:p>
    <w:p w14:paraId="50289DF5" w14:textId="77777777" w:rsidR="003B7AAE" w:rsidRPr="003B7AAE" w:rsidRDefault="003B7AAE" w:rsidP="00500027">
      <w:pPr>
        <w:numPr>
          <w:ilvl w:val="0"/>
          <w:numId w:val="50"/>
        </w:numPr>
        <w:spacing w:before="100" w:beforeAutospacing="1" w:after="100" w:afterAutospacing="1"/>
        <w:ind w:right="0"/>
        <w:jc w:val="left"/>
        <w:rPr>
          <w:rFonts w:asciiTheme="minorHAnsi" w:hAnsiTheme="minorHAnsi" w:cs="Calibri"/>
          <w:lang w:val="en-AU" w:eastAsia="hr-HR"/>
        </w:rPr>
      </w:pPr>
      <w:r w:rsidRPr="003B7AAE">
        <w:rPr>
          <w:rFonts w:asciiTheme="minorHAnsi" w:hAnsiTheme="minorHAnsi" w:cs="Calibri"/>
          <w:b/>
          <w:bCs/>
          <w:lang w:val="en-AU" w:eastAsia="hr-HR"/>
        </w:rPr>
        <w:t>WP1:</w:t>
      </w:r>
      <w:r w:rsidRPr="003B7AAE">
        <w:rPr>
          <w:rFonts w:asciiTheme="minorHAnsi" w:hAnsiTheme="minorHAnsi" w:cs="Calibri"/>
          <w:lang w:val="en-AU" w:eastAsia="hr-HR"/>
        </w:rPr>
        <w:t xml:space="preserve"> “H2-ready for European and regional spatial planning and development”</w:t>
      </w:r>
    </w:p>
    <w:p w14:paraId="4140B1D2" w14:textId="77777777" w:rsidR="003B7AAE" w:rsidRPr="003B7AAE" w:rsidRDefault="003B7AAE" w:rsidP="00500027">
      <w:pPr>
        <w:numPr>
          <w:ilvl w:val="0"/>
          <w:numId w:val="50"/>
        </w:numPr>
        <w:spacing w:before="100" w:beforeAutospacing="1" w:after="100" w:afterAutospacing="1"/>
        <w:ind w:right="0"/>
        <w:jc w:val="left"/>
        <w:rPr>
          <w:rFonts w:asciiTheme="minorHAnsi" w:hAnsiTheme="minorHAnsi" w:cs="Calibri"/>
          <w:lang w:val="en-AU" w:eastAsia="hr-HR"/>
        </w:rPr>
      </w:pPr>
      <w:r w:rsidRPr="003B7AAE">
        <w:rPr>
          <w:rFonts w:asciiTheme="minorHAnsi" w:hAnsiTheme="minorHAnsi" w:cs="Calibri"/>
          <w:b/>
          <w:bCs/>
          <w:lang w:val="en-AU" w:eastAsia="hr-HR"/>
        </w:rPr>
        <w:t>WP2:</w:t>
      </w:r>
      <w:r w:rsidRPr="003B7AAE">
        <w:rPr>
          <w:rFonts w:asciiTheme="minorHAnsi" w:hAnsiTheme="minorHAnsi" w:cs="Calibri"/>
          <w:lang w:val="en-AU" w:eastAsia="hr-HR"/>
        </w:rPr>
        <w:t xml:space="preserve"> “H2-ready regions: Support mechanisms for energy system transition and participation”</w:t>
      </w:r>
    </w:p>
    <w:p w14:paraId="69F29BC1" w14:textId="77777777" w:rsidR="003B7AAE" w:rsidRPr="003B7AAE" w:rsidRDefault="003B7AAE" w:rsidP="00500027">
      <w:pPr>
        <w:numPr>
          <w:ilvl w:val="0"/>
          <w:numId w:val="50"/>
        </w:numPr>
        <w:spacing w:before="100" w:beforeAutospacing="1" w:after="100" w:afterAutospacing="1"/>
        <w:ind w:right="0"/>
        <w:jc w:val="left"/>
        <w:rPr>
          <w:rFonts w:asciiTheme="minorHAnsi" w:hAnsiTheme="minorHAnsi" w:cs="Calibri"/>
          <w:lang w:val="en-AU" w:eastAsia="hr-HR"/>
        </w:rPr>
      </w:pPr>
      <w:r w:rsidRPr="003B7AAE">
        <w:rPr>
          <w:rFonts w:asciiTheme="minorHAnsi" w:hAnsiTheme="minorHAnsi" w:cs="Calibri"/>
          <w:b/>
          <w:bCs/>
          <w:lang w:val="en-AU" w:eastAsia="hr-HR"/>
        </w:rPr>
        <w:t>WP3:</w:t>
      </w:r>
      <w:r w:rsidRPr="003B7AAE">
        <w:rPr>
          <w:rFonts w:asciiTheme="minorHAnsi" w:hAnsiTheme="minorHAnsi" w:cs="Calibri"/>
          <w:lang w:val="en-AU" w:eastAsia="hr-HR"/>
        </w:rPr>
        <w:t xml:space="preserve"> “Developing Central Europe Hydrogen network and Collaboration Platform”</w:t>
      </w:r>
    </w:p>
    <w:p w14:paraId="1B4E2C7B" w14:textId="77777777" w:rsidR="003B7AAE" w:rsidRPr="003B7AAE" w:rsidRDefault="003B7AAE" w:rsidP="00500027">
      <w:pPr>
        <w:spacing w:before="100" w:beforeAutospacing="1" w:after="100" w:afterAutospacing="1"/>
        <w:ind w:left="0" w:right="0"/>
        <w:jc w:val="left"/>
        <w:rPr>
          <w:rFonts w:asciiTheme="minorHAnsi" w:hAnsiTheme="minorHAnsi" w:cs="Calibri"/>
          <w:lang w:val="en-AU" w:eastAsia="hr-HR"/>
        </w:rPr>
      </w:pPr>
      <w:r w:rsidRPr="003B7AAE">
        <w:rPr>
          <w:rFonts w:asciiTheme="minorHAnsi" w:hAnsiTheme="minorHAnsi" w:cs="Calibri"/>
          <w:lang w:val="en-AU" w:eastAsia="hr-HR"/>
        </w:rPr>
        <w:t xml:space="preserve">The transnational strategy is embedded within </w:t>
      </w:r>
      <w:r w:rsidRPr="003B7AAE">
        <w:rPr>
          <w:rFonts w:asciiTheme="minorHAnsi" w:hAnsiTheme="minorHAnsi" w:cs="Calibri"/>
          <w:b/>
          <w:bCs/>
          <w:lang w:val="en-AU" w:eastAsia="hr-HR"/>
        </w:rPr>
        <w:t>WP1</w:t>
      </w:r>
      <w:r w:rsidRPr="003B7AAE">
        <w:rPr>
          <w:rFonts w:asciiTheme="minorHAnsi" w:hAnsiTheme="minorHAnsi" w:cs="Calibri"/>
          <w:lang w:val="en-AU" w:eastAsia="hr-HR"/>
        </w:rPr>
        <w:t>, which focuses on analysing and identifying common challenges and solutions in planning and governance processes for regions transitioning to become H2-ready (hydrogen-ready). WP1 is divided into two main activities:</w:t>
      </w:r>
    </w:p>
    <w:p w14:paraId="210D3DB5" w14:textId="77777777" w:rsidR="003B7AAE" w:rsidRPr="003B7AAE" w:rsidRDefault="003B7AAE" w:rsidP="00500027">
      <w:pPr>
        <w:numPr>
          <w:ilvl w:val="0"/>
          <w:numId w:val="51"/>
        </w:numPr>
        <w:spacing w:before="100" w:beforeAutospacing="1" w:after="100" w:afterAutospacing="1"/>
        <w:ind w:right="0"/>
        <w:rPr>
          <w:rFonts w:asciiTheme="minorHAnsi" w:hAnsiTheme="minorHAnsi"/>
          <w:lang w:val="en-AU" w:eastAsia="hr-HR"/>
        </w:rPr>
      </w:pPr>
      <w:r w:rsidRPr="003B7AAE">
        <w:rPr>
          <w:rFonts w:asciiTheme="minorHAnsi" w:hAnsiTheme="minorHAnsi"/>
          <w:b/>
          <w:bCs/>
          <w:lang w:val="en-AU" w:eastAsia="hr-HR"/>
        </w:rPr>
        <w:t>A.1.1: Planning the transition in European regions:</w:t>
      </w:r>
      <w:r w:rsidRPr="003B7AAE">
        <w:rPr>
          <w:rFonts w:asciiTheme="minorHAnsi" w:hAnsiTheme="minorHAnsi"/>
          <w:lang w:val="en-AU" w:eastAsia="hr-HR"/>
        </w:rPr>
        <w:t xml:space="preserve"> This involves creating a Fact Sheet of common indicators (D.1.1.1), conducting a regional analysis, and summarising the findings in a Summary of regional analysis (D.1.1.2). The goal is to gain a clear understanding of the current situation and the challenges faced by different regions.</w:t>
      </w:r>
    </w:p>
    <w:p w14:paraId="14050620" w14:textId="77777777" w:rsidR="003B7AAE" w:rsidRPr="003B7AAE" w:rsidRDefault="003B7AAE" w:rsidP="00500027">
      <w:pPr>
        <w:numPr>
          <w:ilvl w:val="0"/>
          <w:numId w:val="51"/>
        </w:numPr>
        <w:spacing w:before="100" w:beforeAutospacing="1" w:after="100" w:afterAutospacing="1"/>
        <w:ind w:right="0"/>
        <w:rPr>
          <w:rFonts w:asciiTheme="minorHAnsi" w:hAnsiTheme="minorHAnsi"/>
          <w:lang w:val="en-AU" w:eastAsia="hr-HR"/>
        </w:rPr>
      </w:pPr>
      <w:r w:rsidRPr="003B7AAE">
        <w:rPr>
          <w:rFonts w:asciiTheme="minorHAnsi" w:hAnsiTheme="minorHAnsi"/>
          <w:b/>
          <w:bCs/>
          <w:lang w:val="en-AU" w:eastAsia="hr-HR"/>
        </w:rPr>
        <w:t>A.1.2: Strategy and action plan development:</w:t>
      </w:r>
      <w:r w:rsidRPr="003B7AAE">
        <w:rPr>
          <w:rFonts w:asciiTheme="minorHAnsi" w:hAnsiTheme="minorHAnsi"/>
          <w:lang w:val="en-AU" w:eastAsia="hr-HR"/>
        </w:rPr>
        <w:t xml:space="preserve"> Building on the previous analysis, this activity provides Guidelines on hydrogen strategies and action plans (D.1.2.1). It culminates in the formulation of regional, interregional, and transnational strategies (D.1.2.2), as well as specific regional action plans (D.1.2.3), to support the transition toward hydrogen readiness.</w:t>
      </w:r>
    </w:p>
    <w:p w14:paraId="75429CD5" w14:textId="7405AF3D" w:rsidR="003B7AAE" w:rsidRDefault="003B7AAE" w:rsidP="00500027">
      <w:pPr>
        <w:spacing w:before="100" w:beforeAutospacing="1" w:after="100" w:afterAutospacing="1"/>
        <w:ind w:left="0" w:right="0"/>
        <w:rPr>
          <w:rFonts w:asciiTheme="minorHAnsi" w:hAnsiTheme="minorHAnsi"/>
          <w:lang w:val="en-AU" w:eastAsia="hr-HR"/>
        </w:rPr>
      </w:pPr>
      <w:r w:rsidRPr="003B7AAE">
        <w:rPr>
          <w:rFonts w:asciiTheme="minorHAnsi" w:hAnsiTheme="minorHAnsi"/>
          <w:lang w:val="en-AU" w:eastAsia="hr-HR"/>
        </w:rPr>
        <w:t xml:space="preserve">A graphical representation of </w:t>
      </w:r>
      <w:r w:rsidRPr="003B7AAE">
        <w:rPr>
          <w:rFonts w:asciiTheme="minorHAnsi" w:hAnsiTheme="minorHAnsi"/>
          <w:b/>
          <w:bCs/>
          <w:lang w:val="en-AU" w:eastAsia="hr-HR"/>
        </w:rPr>
        <w:t>WP1</w:t>
      </w:r>
      <w:r w:rsidRPr="003B7AAE">
        <w:rPr>
          <w:rFonts w:asciiTheme="minorHAnsi" w:hAnsiTheme="minorHAnsi"/>
          <w:lang w:val="en-AU" w:eastAsia="hr-HR"/>
        </w:rPr>
        <w:t xml:space="preserve"> can be found in </w:t>
      </w:r>
      <w:r w:rsidR="00941C4C">
        <w:rPr>
          <w:rFonts w:asciiTheme="minorHAnsi" w:hAnsiTheme="minorHAnsi"/>
          <w:lang w:val="en-AU" w:eastAsia="hr-HR"/>
        </w:rPr>
        <w:t>Figure 1 below.</w:t>
      </w:r>
    </w:p>
    <w:p w14:paraId="707BFB86" w14:textId="085AA57E" w:rsidR="003B41CF" w:rsidRDefault="003B7AAE" w:rsidP="003B4456">
      <w:pPr>
        <w:spacing w:before="0" w:line="240" w:lineRule="auto"/>
        <w:ind w:left="0" w:right="0"/>
        <w:jc w:val="center"/>
        <w:rPr>
          <w:rFonts w:ascii="Segoe UI" w:hAnsi="Segoe UI" w:cs="Segoe UI"/>
          <w:sz w:val="18"/>
          <w:szCs w:val="18"/>
        </w:rPr>
      </w:pPr>
      <w:r>
        <w:rPr>
          <w:rFonts w:ascii="Trebuchet MS" w:eastAsia="Trebuchet MS" w:hAnsi="Trebuchet MS" w:cs="Trebuchet MS"/>
          <w:i/>
          <w:noProof/>
          <w:color w:val="000000"/>
          <w:lang w:val="hr-HR" w:eastAsia="hr-HR"/>
        </w:rPr>
        <w:lastRenderedPageBreak/>
        <w:drawing>
          <wp:inline distT="0" distB="0" distL="0" distR="0" wp14:anchorId="188B7997" wp14:editId="39C44CC7">
            <wp:extent cx="5927746" cy="3271052"/>
            <wp:effectExtent l="0" t="0" r="0" b="0"/>
            <wp:docPr id="1799430984" name="image8.png" descr="Ein Bild, das Text, Screenshot, Schrif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0" name="image8.png" descr="Ein Bild, das Text, Screenshot, Schrift enthält.&#10;&#10;KI-generierte Inhalte können fehlerhaft sein."/>
                    <pic:cNvPicPr preferRelativeResize="0"/>
                  </pic:nvPicPr>
                  <pic:blipFill>
                    <a:blip r:embed="rId10"/>
                    <a:srcRect/>
                    <a:stretch>
                      <a:fillRect/>
                    </a:stretch>
                  </pic:blipFill>
                  <pic:spPr>
                    <a:xfrm>
                      <a:off x="0" y="0"/>
                      <a:ext cx="5927746" cy="3271052"/>
                    </a:xfrm>
                    <a:prstGeom prst="rect">
                      <a:avLst/>
                    </a:prstGeom>
                    <a:ln/>
                  </pic:spPr>
                </pic:pic>
              </a:graphicData>
            </a:graphic>
          </wp:inline>
        </w:drawing>
      </w:r>
    </w:p>
    <w:p w14:paraId="3529FEAB" w14:textId="32B2522A" w:rsidR="003B4456" w:rsidRPr="00985093" w:rsidRDefault="00941C4C" w:rsidP="00941C4C">
      <w:pPr>
        <w:pStyle w:val="Opisslike"/>
        <w:jc w:val="center"/>
        <w:rPr>
          <w:rFonts w:asciiTheme="minorHAnsi" w:eastAsia="Trebuchet MS" w:hAnsiTheme="minorHAnsi" w:cs="Trebuchet MS"/>
          <w:i w:val="0"/>
          <w:color w:val="0C0C0C"/>
        </w:rPr>
      </w:pPr>
      <w:bookmarkStart w:id="3" w:name="_Toc219232431"/>
      <w:r>
        <w:t xml:space="preserve">Figure </w:t>
      </w:r>
      <w:r>
        <w:fldChar w:fldCharType="begin"/>
      </w:r>
      <w:r>
        <w:instrText xml:space="preserve"> SEQ Figure \* ARABIC </w:instrText>
      </w:r>
      <w:r>
        <w:fldChar w:fldCharType="separate"/>
      </w:r>
      <w:r w:rsidR="00655C39">
        <w:rPr>
          <w:noProof/>
        </w:rPr>
        <w:t>1</w:t>
      </w:r>
      <w:r>
        <w:fldChar w:fldCharType="end"/>
      </w:r>
      <w:r w:rsidR="00985093" w:rsidRPr="00985093">
        <w:rPr>
          <w:rFonts w:asciiTheme="minorHAnsi" w:eastAsia="Trebuchet MS" w:hAnsiTheme="minorHAnsi" w:cs="Trebuchet MS"/>
          <w:color w:val="0C0C0C"/>
        </w:rPr>
        <w:t>:</w:t>
      </w:r>
      <w:r w:rsidR="003B4456" w:rsidRPr="00985093">
        <w:rPr>
          <w:rFonts w:asciiTheme="minorHAnsi" w:eastAsia="Trebuchet MS" w:hAnsiTheme="minorHAnsi" w:cs="Trebuchet MS"/>
          <w:color w:val="0C0C0C"/>
        </w:rPr>
        <w:t xml:space="preserve"> Overview of Working Package 1</w:t>
      </w:r>
      <w:bookmarkEnd w:id="3"/>
    </w:p>
    <w:p w14:paraId="4E000A86" w14:textId="77777777" w:rsidR="003B7AAE" w:rsidRPr="003B7AAE" w:rsidRDefault="003B7AAE" w:rsidP="00624BCD">
      <w:pPr>
        <w:spacing w:before="100" w:beforeAutospacing="1" w:after="100" w:afterAutospacing="1" w:line="240" w:lineRule="auto"/>
        <w:ind w:left="0" w:right="0"/>
        <w:rPr>
          <w:rFonts w:asciiTheme="minorHAnsi" w:hAnsiTheme="minorHAnsi"/>
          <w:lang w:val="hr-HR" w:eastAsia="hr-HR"/>
        </w:rPr>
      </w:pPr>
    </w:p>
    <w:p w14:paraId="498086DE" w14:textId="7E6E38C1" w:rsidR="003B41CF" w:rsidRDefault="003B41CF" w:rsidP="003B41CF">
      <w:pPr>
        <w:pStyle w:val="CE-Headline2"/>
        <w:rPr>
          <w:lang w:val="en-AU"/>
        </w:rPr>
      </w:pPr>
      <w:bookmarkStart w:id="4" w:name="_Toc219232393"/>
      <w:r>
        <w:rPr>
          <w:lang w:val="en-AU"/>
        </w:rPr>
        <w:t>The Interregional Strategy</w:t>
      </w:r>
      <w:bookmarkEnd w:id="4"/>
    </w:p>
    <w:p w14:paraId="2CA29DB8" w14:textId="77777777" w:rsidR="00792EE3" w:rsidRPr="00792EE3" w:rsidRDefault="00792EE3" w:rsidP="00BA551E">
      <w:pPr>
        <w:pStyle w:val="CE-StandardText"/>
        <w:rPr>
          <w:lang w:val="en-AU"/>
        </w:rPr>
      </w:pPr>
      <w:r w:rsidRPr="00792EE3">
        <w:rPr>
          <w:lang w:val="en-AU"/>
        </w:rPr>
        <w:t>The Interregional Strategy establishes a coherent and future-oriented framework for coordinating hydrogen development across Croatian regions, ensuring consistency with the European Union’s strategic objectives on decarbonisation, renewable energy integration, and the creation of a functional European hydrogen market. It provides a structured mechanism that bridges EU-level policy ambitions, national hydrogen objectives, and regional implementation capacities, enabling Croatia to contribute effectively to the emerging European Hydrogen Economy.</w:t>
      </w:r>
    </w:p>
    <w:p w14:paraId="3197B8BC" w14:textId="16AA8B0D" w:rsidR="00792EE3" w:rsidRPr="00792EE3" w:rsidRDefault="00792EE3" w:rsidP="00BA551E">
      <w:pPr>
        <w:pStyle w:val="CE-StandardText"/>
        <w:rPr>
          <w:lang w:val="en-AU"/>
        </w:rPr>
      </w:pPr>
      <w:r w:rsidRPr="00792EE3">
        <w:rPr>
          <w:lang w:val="en-AU"/>
        </w:rPr>
        <w:t>At the macro level, the Strategy is guided by key EU targets, such as the planned 40,000 km hydrogen pipeline network by 2040 and the production of 10 million tonnes of renewable hydrogen by 2030. These targets provide the strategic orientation for national planning and require strong engagement from regional authorities to ensure effective absorption of EU funding instruments, including Horizon Europe</w:t>
      </w:r>
      <w:r w:rsidR="009F52A2">
        <w:rPr>
          <w:lang w:val="en-AU"/>
        </w:rPr>
        <w:t>, Clean Hydrogen Partnership</w:t>
      </w:r>
      <w:r w:rsidRPr="00792EE3">
        <w:rPr>
          <w:lang w:val="en-AU"/>
        </w:rPr>
        <w:t>, the Innovation Fund, the Modernisation Fund, and Cohesion Policy programmes.</w:t>
      </w:r>
    </w:p>
    <w:p w14:paraId="4A843A02" w14:textId="77777777" w:rsidR="00792EE3" w:rsidRPr="00792EE3" w:rsidRDefault="00792EE3" w:rsidP="00BA551E">
      <w:pPr>
        <w:pStyle w:val="CE-StandardText"/>
        <w:rPr>
          <w:lang w:val="en-AU"/>
        </w:rPr>
      </w:pPr>
      <w:r w:rsidRPr="00792EE3">
        <w:rPr>
          <w:lang w:val="en-AU"/>
        </w:rPr>
        <w:t>At the micro level, Croatian regions are responsible for operationalizing these high-level goals by planning and implementing production capacities, expanding hydrogen infrastructure, and supporting industrial and mobility applications. Regional implementation is essential not only for enabling concrete hydrogen deployment but also for generating practical feedback that helps refine national regulatory frameworks and EU policy alignment.</w:t>
      </w:r>
    </w:p>
    <w:p w14:paraId="492B249B" w14:textId="77777777" w:rsidR="00792EE3" w:rsidRPr="00792EE3" w:rsidRDefault="00792EE3" w:rsidP="00BA551E">
      <w:pPr>
        <w:pStyle w:val="CE-StandardText"/>
        <w:rPr>
          <w:lang w:val="en-AU"/>
        </w:rPr>
      </w:pPr>
      <w:r w:rsidRPr="00792EE3">
        <w:rPr>
          <w:lang w:val="en-AU"/>
        </w:rPr>
        <w:t>Through analytical work conducted within WP1 of the H2CE project, two Croatian regions were identified as having the strongest prerequisites for hydrogen deployment:</w:t>
      </w:r>
    </w:p>
    <w:p w14:paraId="17282FF1" w14:textId="77777777" w:rsidR="00792EE3" w:rsidRPr="00792EE3" w:rsidRDefault="00792EE3" w:rsidP="00BA551E">
      <w:pPr>
        <w:pStyle w:val="CE-StandardText"/>
        <w:rPr>
          <w:lang w:val="en-AU"/>
        </w:rPr>
      </w:pPr>
    </w:p>
    <w:p w14:paraId="7BC3FE06" w14:textId="77777777" w:rsidR="00792EE3" w:rsidRPr="00792EE3" w:rsidRDefault="00792EE3" w:rsidP="00BA551E">
      <w:pPr>
        <w:pStyle w:val="CE-StandardText"/>
        <w:numPr>
          <w:ilvl w:val="0"/>
          <w:numId w:val="89"/>
        </w:numPr>
        <w:rPr>
          <w:lang w:val="en-AU"/>
        </w:rPr>
      </w:pPr>
      <w:r w:rsidRPr="00792EE3">
        <w:rPr>
          <w:lang w:val="en-AU"/>
        </w:rPr>
        <w:t>North-West Region</w:t>
      </w:r>
    </w:p>
    <w:p w14:paraId="5FA64981" w14:textId="77777777" w:rsidR="00792EE3" w:rsidRPr="00792EE3" w:rsidRDefault="00792EE3" w:rsidP="00BA551E">
      <w:pPr>
        <w:pStyle w:val="CE-StandardText"/>
        <w:rPr>
          <w:lang w:val="en-AU"/>
        </w:rPr>
      </w:pPr>
      <w:r w:rsidRPr="00792EE3">
        <w:rPr>
          <w:lang w:val="en-AU"/>
        </w:rPr>
        <w:t xml:space="preserve">This region benefits from concentrated industrial activity, existing energy and gas infrastructure, and strong research and innovation capacity. It is well positioned for early integration of hydrogen into industrial </w:t>
      </w:r>
      <w:r w:rsidRPr="00792EE3">
        <w:rPr>
          <w:lang w:val="en-AU"/>
        </w:rPr>
        <w:lastRenderedPageBreak/>
        <w:t>processes, public transport systems, and local energy networks. The presence of leading academic institutions further strengthens its potential to develop regional competence centres and testbed facilities.</w:t>
      </w:r>
    </w:p>
    <w:p w14:paraId="095EBDF9" w14:textId="77777777" w:rsidR="00792EE3" w:rsidRPr="00792EE3" w:rsidRDefault="00792EE3" w:rsidP="00BA551E">
      <w:pPr>
        <w:pStyle w:val="CE-StandardText"/>
        <w:rPr>
          <w:lang w:val="en-AU"/>
        </w:rPr>
      </w:pPr>
    </w:p>
    <w:p w14:paraId="12AAA059" w14:textId="77777777" w:rsidR="00792EE3" w:rsidRPr="00792EE3" w:rsidRDefault="00792EE3" w:rsidP="00BA551E">
      <w:pPr>
        <w:pStyle w:val="CE-StandardText"/>
        <w:numPr>
          <w:ilvl w:val="0"/>
          <w:numId w:val="89"/>
        </w:numPr>
        <w:rPr>
          <w:lang w:val="en-AU"/>
        </w:rPr>
      </w:pPr>
      <w:r w:rsidRPr="00792EE3">
        <w:rPr>
          <w:lang w:val="en-AU"/>
        </w:rPr>
        <w:t>Northern Adriatic Region</w:t>
      </w:r>
    </w:p>
    <w:p w14:paraId="529E49E5" w14:textId="77777777" w:rsidR="00792EE3" w:rsidRPr="00792EE3" w:rsidRDefault="00792EE3" w:rsidP="00BA551E">
      <w:pPr>
        <w:pStyle w:val="CE-StandardText"/>
        <w:rPr>
          <w:lang w:val="en-AU"/>
        </w:rPr>
      </w:pPr>
      <w:r w:rsidRPr="00792EE3">
        <w:rPr>
          <w:lang w:val="en-AU"/>
        </w:rPr>
        <w:t>Defined by strategic ports, significant renewable energy potential, and strong cross-border connectivity, this region is ideal for scaling up hydrogen production, storage, and distribution. The Port of Rijeka and the Krk LNG terminal offer opportunities for future hydrogen and ammonia import–export corridors, linking Croatia directly to the European Hydrogen Backbone.</w:t>
      </w:r>
    </w:p>
    <w:p w14:paraId="2D1250D4" w14:textId="77777777" w:rsidR="00792EE3" w:rsidRPr="00792EE3" w:rsidRDefault="00792EE3" w:rsidP="00BA551E">
      <w:pPr>
        <w:pStyle w:val="CE-StandardText"/>
        <w:rPr>
          <w:lang w:val="en-AU"/>
        </w:rPr>
      </w:pPr>
      <w:r w:rsidRPr="00792EE3">
        <w:rPr>
          <w:lang w:val="en-AU"/>
        </w:rPr>
        <w:t>The Interregional Strategy formalises cooperation between these regions by:</w:t>
      </w:r>
    </w:p>
    <w:p w14:paraId="32B3A9FC" w14:textId="77777777" w:rsidR="00792EE3" w:rsidRPr="00792EE3" w:rsidRDefault="00792EE3" w:rsidP="00BA551E">
      <w:pPr>
        <w:pStyle w:val="CE-StandardText"/>
        <w:rPr>
          <w:lang w:val="en-AU"/>
        </w:rPr>
      </w:pPr>
    </w:p>
    <w:p w14:paraId="0984A2EF" w14:textId="0A2B21F2" w:rsidR="00792EE3" w:rsidRPr="00792EE3" w:rsidRDefault="00792EE3" w:rsidP="00500027">
      <w:pPr>
        <w:pStyle w:val="CE-StandardText"/>
        <w:numPr>
          <w:ilvl w:val="0"/>
          <w:numId w:val="90"/>
        </w:numPr>
        <w:spacing w:before="0"/>
        <w:rPr>
          <w:lang w:val="en-AU"/>
        </w:rPr>
      </w:pPr>
      <w:r w:rsidRPr="00792EE3">
        <w:rPr>
          <w:lang w:val="en-AU"/>
        </w:rPr>
        <w:t>aligning regional priorities with EU and national policy frameworks</w:t>
      </w:r>
    </w:p>
    <w:p w14:paraId="72697D81" w14:textId="7215C525" w:rsidR="00792EE3" w:rsidRPr="00792EE3" w:rsidRDefault="00792EE3" w:rsidP="00500027">
      <w:pPr>
        <w:pStyle w:val="CE-StandardText"/>
        <w:numPr>
          <w:ilvl w:val="0"/>
          <w:numId w:val="90"/>
        </w:numPr>
        <w:spacing w:before="0"/>
        <w:rPr>
          <w:lang w:val="en-AU"/>
        </w:rPr>
      </w:pPr>
      <w:r w:rsidRPr="00792EE3">
        <w:rPr>
          <w:lang w:val="en-AU"/>
        </w:rPr>
        <w:t>facilitating coordinated infrastructure planning (e.g., hydrogen-ready grids, refuelling networks, port-based hydrogen hubs)</w:t>
      </w:r>
    </w:p>
    <w:p w14:paraId="38F341AB" w14:textId="63BF47DA" w:rsidR="00792EE3" w:rsidRPr="00792EE3" w:rsidRDefault="00792EE3" w:rsidP="00500027">
      <w:pPr>
        <w:pStyle w:val="CE-StandardText"/>
        <w:numPr>
          <w:ilvl w:val="0"/>
          <w:numId w:val="90"/>
        </w:numPr>
        <w:spacing w:before="0"/>
        <w:rPr>
          <w:lang w:val="en-AU"/>
        </w:rPr>
      </w:pPr>
      <w:r w:rsidRPr="00792EE3">
        <w:rPr>
          <w:lang w:val="en-AU"/>
        </w:rPr>
        <w:t>promoting shared investment models and cross-regional project pipelines</w:t>
      </w:r>
    </w:p>
    <w:p w14:paraId="7A67952F" w14:textId="31428CDE" w:rsidR="00792EE3" w:rsidRPr="00792EE3" w:rsidRDefault="00792EE3" w:rsidP="00500027">
      <w:pPr>
        <w:pStyle w:val="CE-StandardText"/>
        <w:numPr>
          <w:ilvl w:val="0"/>
          <w:numId w:val="90"/>
        </w:numPr>
        <w:spacing w:before="0"/>
        <w:rPr>
          <w:lang w:val="en-AU"/>
        </w:rPr>
      </w:pPr>
      <w:r w:rsidRPr="00792EE3">
        <w:rPr>
          <w:lang w:val="en-AU"/>
        </w:rPr>
        <w:t>strengthening knowledge exchange, capacity-building, and stakeholder engagement</w:t>
      </w:r>
    </w:p>
    <w:p w14:paraId="72D322E8" w14:textId="77777777" w:rsidR="00792EE3" w:rsidRPr="00792EE3" w:rsidRDefault="00792EE3" w:rsidP="00500027">
      <w:pPr>
        <w:pStyle w:val="CE-StandardText"/>
        <w:numPr>
          <w:ilvl w:val="0"/>
          <w:numId w:val="90"/>
        </w:numPr>
        <w:spacing w:before="0"/>
        <w:rPr>
          <w:lang w:val="en-AU"/>
        </w:rPr>
      </w:pPr>
      <w:r w:rsidRPr="00792EE3">
        <w:rPr>
          <w:lang w:val="en-AU"/>
        </w:rPr>
        <w:t>ensuring regulatory coherence and permitting streamlining across regional boundaries</w:t>
      </w:r>
    </w:p>
    <w:p w14:paraId="28EF21C8" w14:textId="77777777" w:rsidR="00792EE3" w:rsidRPr="00792EE3" w:rsidRDefault="00792EE3" w:rsidP="00500027">
      <w:pPr>
        <w:pStyle w:val="CE-StandardText"/>
        <w:spacing w:before="0"/>
        <w:rPr>
          <w:lang w:val="en-AU"/>
        </w:rPr>
      </w:pPr>
    </w:p>
    <w:p w14:paraId="78EFC71A" w14:textId="77777777" w:rsidR="00792EE3" w:rsidRPr="00792EE3" w:rsidRDefault="00792EE3" w:rsidP="00BA551E">
      <w:pPr>
        <w:pStyle w:val="CE-StandardText"/>
        <w:rPr>
          <w:lang w:val="en-AU"/>
        </w:rPr>
      </w:pPr>
      <w:r w:rsidRPr="00792EE3">
        <w:rPr>
          <w:lang w:val="en-AU"/>
        </w:rPr>
        <w:t>The Strategy also emphasises an iterative governance model, in which top-down policy direction from the EU and national government is continuously complemented by bottom-up input from regions, enabling adaptive planning and accelerated project implementation.</w:t>
      </w:r>
    </w:p>
    <w:p w14:paraId="21B61B4C" w14:textId="77777777" w:rsidR="00792EE3" w:rsidRPr="00792EE3" w:rsidRDefault="00792EE3" w:rsidP="00BA551E">
      <w:pPr>
        <w:pStyle w:val="CE-StandardText"/>
        <w:rPr>
          <w:lang w:val="en-AU"/>
        </w:rPr>
      </w:pPr>
    </w:p>
    <w:p w14:paraId="64A80114" w14:textId="6241E6FC" w:rsidR="00DC56BC" w:rsidRDefault="00792EE3" w:rsidP="00BA551E">
      <w:pPr>
        <w:pStyle w:val="CE-StandardText"/>
        <w:rPr>
          <w:lang w:val="en-AU"/>
        </w:rPr>
      </w:pPr>
      <w:r w:rsidRPr="00792EE3">
        <w:rPr>
          <w:lang w:val="en-AU"/>
        </w:rPr>
        <w:t>Overall, the Interregional Strategy acts as a strategic, operational, and coordination tool, enabling Croatian regions to jointly mobilise resources, reduce fragmentation, integrate hydrogen into spatial and energy planning frameworks, and contribute meaningfully to Croatia’s national hydrogen goals and the wider EU decarbonisation agenda.</w:t>
      </w:r>
    </w:p>
    <w:p w14:paraId="15D7F02F" w14:textId="77777777" w:rsidR="00792EE3" w:rsidRDefault="00792EE3" w:rsidP="00792EE3">
      <w:pPr>
        <w:pStyle w:val="CE-StandardText"/>
        <w:rPr>
          <w:lang w:val="en-AU"/>
        </w:rPr>
      </w:pPr>
    </w:p>
    <w:p w14:paraId="1DF00C98" w14:textId="4B899C97" w:rsidR="003B41CF" w:rsidRDefault="003B41CF" w:rsidP="003B41CF">
      <w:pPr>
        <w:pStyle w:val="CE-Headline2"/>
        <w:rPr>
          <w:lang w:val="en-AU"/>
        </w:rPr>
      </w:pPr>
      <w:bookmarkStart w:id="5" w:name="_Toc219232394"/>
      <w:r>
        <w:rPr>
          <w:lang w:val="en-AU"/>
        </w:rPr>
        <w:t>Methodology</w:t>
      </w:r>
      <w:bookmarkEnd w:id="5"/>
    </w:p>
    <w:p w14:paraId="02BAEEA2" w14:textId="71B18060" w:rsidR="00807417" w:rsidRPr="00B25217" w:rsidRDefault="00807417" w:rsidP="00500027">
      <w:pPr>
        <w:spacing w:before="100" w:beforeAutospacing="1" w:after="100" w:afterAutospacing="1"/>
        <w:ind w:left="0" w:right="0"/>
        <w:rPr>
          <w:rFonts w:asciiTheme="minorHAnsi" w:hAnsiTheme="minorHAnsi"/>
          <w:lang w:val="en-AU" w:eastAsia="hr-HR"/>
        </w:rPr>
      </w:pPr>
      <w:r w:rsidRPr="00B25217">
        <w:rPr>
          <w:rFonts w:asciiTheme="minorHAnsi" w:hAnsiTheme="minorHAnsi"/>
          <w:lang w:val="en-AU" w:eastAsia="hr-HR"/>
        </w:rPr>
        <w:t>The development of the Interregional Strategy for Hydrogen-Ready Regions in Croatia was carried out through a systematic, multi-stage process that combined analytical research, expert knowledge, stakeholder involvement</w:t>
      </w:r>
      <w:r w:rsidR="009F52A2">
        <w:rPr>
          <w:rFonts w:asciiTheme="minorHAnsi" w:hAnsiTheme="minorHAnsi"/>
          <w:lang w:val="en-AU" w:eastAsia="hr-HR"/>
        </w:rPr>
        <w:t>,</w:t>
      </w:r>
      <w:r w:rsidRPr="00B25217">
        <w:rPr>
          <w:rFonts w:asciiTheme="minorHAnsi" w:hAnsiTheme="minorHAnsi"/>
          <w:lang w:val="en-AU" w:eastAsia="hr-HR"/>
        </w:rPr>
        <w:t xml:space="preserve"> and continuous cooperation with the project consortium. The methodological approach ensured that the strategy is grounded in reliable data, aligned with national and regional development frameworks, and consistent with the broader direction of the H2CE project.</w:t>
      </w:r>
    </w:p>
    <w:p w14:paraId="58616623" w14:textId="407C6790" w:rsidR="00807417" w:rsidRPr="00B25217" w:rsidRDefault="00807417" w:rsidP="00500027">
      <w:pPr>
        <w:spacing w:before="100" w:beforeAutospacing="1" w:after="100" w:afterAutospacing="1"/>
        <w:ind w:left="0" w:right="0"/>
        <w:rPr>
          <w:rFonts w:asciiTheme="minorHAnsi" w:hAnsiTheme="minorHAnsi"/>
          <w:lang w:val="en-AU" w:eastAsia="hr-HR"/>
        </w:rPr>
      </w:pPr>
      <w:r w:rsidRPr="00B25217">
        <w:rPr>
          <w:rFonts w:asciiTheme="minorHAnsi" w:hAnsiTheme="minorHAnsi"/>
          <w:lang w:val="en-AU" w:eastAsia="hr-HR"/>
        </w:rPr>
        <w:t>The work began with an extensive review of the strategic, legislative</w:t>
      </w:r>
      <w:r w:rsidR="009F52A2">
        <w:rPr>
          <w:rFonts w:asciiTheme="minorHAnsi" w:hAnsiTheme="minorHAnsi"/>
          <w:lang w:val="en-AU" w:eastAsia="hr-HR"/>
        </w:rPr>
        <w:t>,</w:t>
      </w:r>
      <w:r w:rsidRPr="00B25217">
        <w:rPr>
          <w:rFonts w:asciiTheme="minorHAnsi" w:hAnsiTheme="minorHAnsi"/>
          <w:lang w:val="en-AU" w:eastAsia="hr-HR"/>
        </w:rPr>
        <w:t xml:space="preserve"> and planning documents relevant to hydrogen development at European, national</w:t>
      </w:r>
      <w:r w:rsidR="009F52A2">
        <w:rPr>
          <w:rFonts w:asciiTheme="minorHAnsi" w:hAnsiTheme="minorHAnsi"/>
          <w:lang w:val="en-AU" w:eastAsia="hr-HR"/>
        </w:rPr>
        <w:t>,</w:t>
      </w:r>
      <w:r w:rsidRPr="00B25217">
        <w:rPr>
          <w:rFonts w:asciiTheme="minorHAnsi" w:hAnsiTheme="minorHAnsi"/>
          <w:lang w:val="en-AU" w:eastAsia="hr-HR"/>
        </w:rPr>
        <w:t xml:space="preserve"> and regional levels. This included Croatia’s Hydrogen Strategy until 2050, the National Energy and Climate Plan, and sectoral and spatial planning documents, as well as the analytical foundations produced within WP1 of the H2CE project. This initial review created a clear understanding of the regulatory and institutional context in which Croatian regions can develop hydrogen projects.</w:t>
      </w:r>
    </w:p>
    <w:p w14:paraId="2B9829C8" w14:textId="3DAB5D4D" w:rsidR="00807417" w:rsidRPr="00B25217" w:rsidRDefault="00807417" w:rsidP="00500027">
      <w:pPr>
        <w:spacing w:before="100" w:beforeAutospacing="1" w:after="100" w:afterAutospacing="1"/>
        <w:ind w:left="0" w:right="0"/>
        <w:rPr>
          <w:rFonts w:asciiTheme="minorHAnsi" w:hAnsiTheme="minorHAnsi"/>
          <w:lang w:val="en-AU" w:eastAsia="hr-HR"/>
        </w:rPr>
      </w:pPr>
      <w:r w:rsidRPr="00B25217">
        <w:rPr>
          <w:rFonts w:asciiTheme="minorHAnsi" w:hAnsiTheme="minorHAnsi"/>
          <w:lang w:val="en-AU" w:eastAsia="hr-HR"/>
        </w:rPr>
        <w:t>A structured assessment of regional potential followed, based on the common indicators defined within WP1. The analysis included renewable energy availability, existing energy and gas infrastructure, transport corridors, industrial activity, research capacity</w:t>
      </w:r>
      <w:r w:rsidR="009F52A2">
        <w:rPr>
          <w:rFonts w:asciiTheme="minorHAnsi" w:hAnsiTheme="minorHAnsi"/>
          <w:lang w:val="en-AU" w:eastAsia="hr-HR"/>
        </w:rPr>
        <w:t>,</w:t>
      </w:r>
      <w:r w:rsidRPr="00B25217">
        <w:rPr>
          <w:rFonts w:asciiTheme="minorHAnsi" w:hAnsiTheme="minorHAnsi"/>
          <w:lang w:val="en-AU" w:eastAsia="hr-HR"/>
        </w:rPr>
        <w:t xml:space="preserve"> and spatial constraints. Through this evidence-based evaluation, two regions—North-West Croatia and the Northern Adriatic—were identified as having the strongest prerequisites for future hydrogen deployment. These regions were therefore elaborated in more </w:t>
      </w:r>
      <w:r w:rsidRPr="00B25217">
        <w:rPr>
          <w:rFonts w:asciiTheme="minorHAnsi" w:hAnsiTheme="minorHAnsi"/>
          <w:lang w:val="en-AU" w:eastAsia="hr-HR"/>
        </w:rPr>
        <w:lastRenderedPageBreak/>
        <w:t>detail in the strategy, reflecting their strategic value, existing industrial base, port and logistics infrastructure, and opportunities for cross-border cooperation.</w:t>
      </w:r>
    </w:p>
    <w:p w14:paraId="078798B4" w14:textId="5E7FD7D9" w:rsidR="00807417" w:rsidRPr="00B25217" w:rsidRDefault="00807417" w:rsidP="00500027">
      <w:pPr>
        <w:spacing w:before="100" w:beforeAutospacing="1" w:after="100" w:afterAutospacing="1"/>
        <w:ind w:left="0" w:right="0"/>
        <w:rPr>
          <w:rFonts w:asciiTheme="minorHAnsi" w:hAnsiTheme="minorHAnsi"/>
          <w:lang w:val="en-AU" w:eastAsia="hr-HR"/>
        </w:rPr>
      </w:pPr>
      <w:r w:rsidRPr="00B25217">
        <w:rPr>
          <w:rFonts w:asciiTheme="minorHAnsi" w:hAnsiTheme="minorHAnsi"/>
          <w:lang w:val="en-AU" w:eastAsia="hr-HR"/>
        </w:rPr>
        <w:t xml:space="preserve">A significant component of the methodological process was expert involvement. </w:t>
      </w:r>
      <w:r w:rsidRPr="00B25217">
        <w:rPr>
          <w:rFonts w:asciiTheme="minorHAnsi" w:hAnsiTheme="minorHAnsi"/>
          <w:b/>
          <w:bCs/>
          <w:lang w:val="en-AU" w:eastAsia="hr-HR"/>
        </w:rPr>
        <w:t>Assoc. Prof. Ankica Kovač</w:t>
      </w:r>
      <w:r w:rsidRPr="00B25217">
        <w:rPr>
          <w:rFonts w:asciiTheme="minorHAnsi" w:hAnsiTheme="minorHAnsi"/>
          <w:lang w:val="en-AU" w:eastAsia="hr-HR"/>
        </w:rPr>
        <w:t xml:space="preserve"> contributed directly to the preparation of </w:t>
      </w:r>
      <w:r w:rsidRPr="00B25217">
        <w:rPr>
          <w:rFonts w:asciiTheme="minorHAnsi" w:hAnsiTheme="minorHAnsi"/>
          <w:b/>
          <w:bCs/>
          <w:lang w:val="en-AU" w:eastAsia="hr-HR"/>
        </w:rPr>
        <w:t>Chapter 3</w:t>
      </w:r>
      <w:r w:rsidRPr="00B25217">
        <w:rPr>
          <w:rFonts w:asciiTheme="minorHAnsi" w:hAnsiTheme="minorHAnsi"/>
          <w:lang w:val="en-AU" w:eastAsia="hr-HR"/>
        </w:rPr>
        <w:t>, providing scientific validation and guidance on technological feasibility, regional hydrogen pathways</w:t>
      </w:r>
      <w:r w:rsidR="009F52A2">
        <w:rPr>
          <w:rFonts w:asciiTheme="minorHAnsi" w:hAnsiTheme="minorHAnsi"/>
          <w:lang w:val="en-AU" w:eastAsia="hr-HR"/>
        </w:rPr>
        <w:t>,</w:t>
      </w:r>
      <w:r w:rsidRPr="00B25217">
        <w:rPr>
          <w:rFonts w:asciiTheme="minorHAnsi" w:hAnsiTheme="minorHAnsi"/>
          <w:lang w:val="en-AU" w:eastAsia="hr-HR"/>
        </w:rPr>
        <w:t xml:space="preserve"> and alignment with current international practices. Her expertise ensured that the regional assessments were technically sound and in line with ongoing developments in hydrogen technologies.</w:t>
      </w:r>
    </w:p>
    <w:p w14:paraId="77F9E9F5" w14:textId="2072C376" w:rsidR="00807417" w:rsidRPr="00B25217" w:rsidRDefault="00807417" w:rsidP="00500027">
      <w:pPr>
        <w:spacing w:before="100" w:beforeAutospacing="1" w:after="100" w:afterAutospacing="1"/>
        <w:ind w:left="0" w:right="0"/>
        <w:rPr>
          <w:rFonts w:asciiTheme="minorHAnsi" w:hAnsiTheme="minorHAnsi"/>
          <w:lang w:val="en-AU" w:eastAsia="hr-HR"/>
        </w:rPr>
      </w:pPr>
      <w:r w:rsidRPr="00B25217">
        <w:rPr>
          <w:rFonts w:asciiTheme="minorHAnsi" w:hAnsiTheme="minorHAnsi"/>
          <w:lang w:val="en-AU" w:eastAsia="hr-HR"/>
        </w:rPr>
        <w:t xml:space="preserve">Stakeholder engagement was carried out continuously and represented one of the core elements of the methodology. Input was collected from national institutions, regulatory bodies, energy companies, industrial stakeholders, regional development agencies, research </w:t>
      </w:r>
      <w:r w:rsidRPr="00C41359">
        <w:rPr>
          <w:rFonts w:asciiTheme="minorHAnsi" w:hAnsiTheme="minorHAnsi"/>
          <w:lang w:val="en-AU" w:eastAsia="hr-HR"/>
        </w:rPr>
        <w:t>centres</w:t>
      </w:r>
      <w:r w:rsidR="009F52A2" w:rsidRPr="00C41359">
        <w:rPr>
          <w:rFonts w:asciiTheme="minorHAnsi" w:hAnsiTheme="minorHAnsi"/>
          <w:lang w:val="en-AU" w:eastAsia="hr-HR"/>
        </w:rPr>
        <w:t>,</w:t>
      </w:r>
      <w:r w:rsidRPr="00B25217">
        <w:rPr>
          <w:rFonts w:asciiTheme="minorHAnsi" w:hAnsiTheme="minorHAnsi"/>
          <w:lang w:val="en-AU" w:eastAsia="hr-HR"/>
        </w:rPr>
        <w:t xml:space="preserve"> and local authorities. These interactions took the form of bilateral consultations, data exchanges</w:t>
      </w:r>
      <w:r w:rsidR="009F52A2">
        <w:rPr>
          <w:rFonts w:asciiTheme="minorHAnsi" w:hAnsiTheme="minorHAnsi"/>
          <w:lang w:val="en-AU" w:eastAsia="hr-HR"/>
        </w:rPr>
        <w:t>,</w:t>
      </w:r>
      <w:r w:rsidRPr="00B25217">
        <w:rPr>
          <w:rFonts w:asciiTheme="minorHAnsi" w:hAnsiTheme="minorHAnsi"/>
          <w:lang w:val="en-AU" w:eastAsia="hr-HR"/>
        </w:rPr>
        <w:t xml:space="preserve"> and targeted discussions, helping to identify practical barriers, infrastructure needs, investment priorities</w:t>
      </w:r>
      <w:r w:rsidR="009F52A2">
        <w:rPr>
          <w:rFonts w:asciiTheme="minorHAnsi" w:hAnsiTheme="minorHAnsi"/>
          <w:lang w:val="en-AU" w:eastAsia="hr-HR"/>
        </w:rPr>
        <w:t>,</w:t>
      </w:r>
      <w:r w:rsidRPr="00B25217">
        <w:rPr>
          <w:rFonts w:asciiTheme="minorHAnsi" w:hAnsiTheme="minorHAnsi"/>
          <w:lang w:val="en-AU" w:eastAsia="hr-HR"/>
        </w:rPr>
        <w:t xml:space="preserve"> and opportunities for regional cooperation.</w:t>
      </w:r>
    </w:p>
    <w:p w14:paraId="49916187" w14:textId="099602BF" w:rsidR="00807417" w:rsidRPr="00B25217" w:rsidRDefault="00807417" w:rsidP="00500027">
      <w:pPr>
        <w:spacing w:before="100" w:beforeAutospacing="1" w:after="100" w:afterAutospacing="1"/>
        <w:ind w:left="0" w:right="0"/>
        <w:rPr>
          <w:rFonts w:asciiTheme="minorHAnsi" w:hAnsiTheme="minorHAnsi"/>
          <w:lang w:val="en-AU" w:eastAsia="hr-HR"/>
        </w:rPr>
      </w:pPr>
      <w:r w:rsidRPr="00B25217">
        <w:rPr>
          <w:rFonts w:asciiTheme="minorHAnsi" w:hAnsiTheme="minorHAnsi"/>
          <w:lang w:val="en-AU" w:eastAsia="hr-HR"/>
        </w:rPr>
        <w:t>In parallel, Croatian project partners participated in several online meetings with the wider H2CE consortium. These sessions were used to harmonise methodological approaches, clarify expectations regarding the interregional and transnational strategies, exchange experience among regions</w:t>
      </w:r>
      <w:r w:rsidR="009F52A2">
        <w:rPr>
          <w:rFonts w:asciiTheme="minorHAnsi" w:hAnsiTheme="minorHAnsi"/>
          <w:lang w:val="en-AU" w:eastAsia="hr-HR"/>
        </w:rPr>
        <w:t>,</w:t>
      </w:r>
      <w:r w:rsidRPr="00B25217">
        <w:rPr>
          <w:rFonts w:asciiTheme="minorHAnsi" w:hAnsiTheme="minorHAnsi"/>
          <w:lang w:val="en-AU" w:eastAsia="hr-HR"/>
        </w:rPr>
        <w:t xml:space="preserve"> and ensure that the Croatian analysis is consistent with the overall WP1 framework. Such cross-regional dialogue significantly contributed to the coherence and quality of the final document.</w:t>
      </w:r>
    </w:p>
    <w:p w14:paraId="695745E4" w14:textId="747D522A" w:rsidR="00807417" w:rsidRPr="00B25217" w:rsidRDefault="00807417" w:rsidP="00500027">
      <w:pPr>
        <w:spacing w:before="100" w:beforeAutospacing="1" w:after="100" w:afterAutospacing="1"/>
        <w:ind w:left="0" w:right="0"/>
        <w:rPr>
          <w:rFonts w:asciiTheme="minorHAnsi" w:hAnsiTheme="minorHAnsi"/>
          <w:lang w:val="en-AU" w:eastAsia="hr-HR"/>
        </w:rPr>
      </w:pPr>
      <w:r w:rsidRPr="00B25217">
        <w:rPr>
          <w:rFonts w:asciiTheme="minorHAnsi" w:hAnsiTheme="minorHAnsi"/>
          <w:lang w:val="en-AU" w:eastAsia="hr-HR"/>
        </w:rPr>
        <w:t xml:space="preserve">In addition to online activities, partners took part in physical workshops organised as part of H2CE project implementation. During these in-person sessions—particularly those dedicated to exercises for the development of the transnational strategy—partners discussed not only the transnational </w:t>
      </w:r>
      <w:r w:rsidR="009F52A2">
        <w:rPr>
          <w:rFonts w:asciiTheme="minorHAnsi" w:hAnsiTheme="minorHAnsi"/>
          <w:lang w:val="en-AU" w:eastAsia="hr-HR"/>
        </w:rPr>
        <w:t>dimension but</w:t>
      </w:r>
      <w:r w:rsidRPr="00B25217">
        <w:rPr>
          <w:rFonts w:asciiTheme="minorHAnsi" w:hAnsiTheme="minorHAnsi"/>
          <w:lang w:val="en-AU" w:eastAsia="hr-HR"/>
        </w:rPr>
        <w:t xml:space="preserve"> also the structure and content of the Interregional Strategy. These workshops were used to verify analytical assumptions, compare regional challenges across </w:t>
      </w:r>
      <w:r w:rsidR="009F52A2">
        <w:rPr>
          <w:rFonts w:asciiTheme="minorHAnsi" w:hAnsiTheme="minorHAnsi"/>
          <w:lang w:val="en-AU" w:eastAsia="hr-HR"/>
        </w:rPr>
        <w:t>countries,</w:t>
      </w:r>
      <w:r w:rsidRPr="00B25217">
        <w:rPr>
          <w:rFonts w:asciiTheme="minorHAnsi" w:hAnsiTheme="minorHAnsi"/>
          <w:lang w:val="en-AU" w:eastAsia="hr-HR"/>
        </w:rPr>
        <w:t xml:space="preserve"> and refine the approach used in preparing the Croatian strategy.</w:t>
      </w:r>
    </w:p>
    <w:p w14:paraId="54213177" w14:textId="0170AAE1" w:rsidR="005D2055" w:rsidRDefault="00807417" w:rsidP="00BA551E">
      <w:pPr>
        <w:spacing w:before="100" w:beforeAutospacing="1" w:after="100" w:afterAutospacing="1"/>
        <w:ind w:left="0" w:right="0"/>
        <w:rPr>
          <w:rFonts w:asciiTheme="minorHAnsi" w:hAnsiTheme="minorHAnsi"/>
          <w:lang w:val="en-AU" w:eastAsia="hr-HR"/>
        </w:rPr>
      </w:pPr>
      <w:r w:rsidRPr="00B25217">
        <w:rPr>
          <w:rFonts w:asciiTheme="minorHAnsi" w:hAnsiTheme="minorHAnsi"/>
          <w:lang w:val="en-AU" w:eastAsia="hr-HR"/>
        </w:rPr>
        <w:t>The final stage of the methodology involved synthesising analytical findings, stakeholder inputs, expert consultations</w:t>
      </w:r>
      <w:r w:rsidR="009F52A2">
        <w:rPr>
          <w:rFonts w:asciiTheme="minorHAnsi" w:hAnsiTheme="minorHAnsi"/>
          <w:lang w:val="en-AU" w:eastAsia="hr-HR"/>
        </w:rPr>
        <w:t>,</w:t>
      </w:r>
      <w:r w:rsidRPr="00B25217">
        <w:rPr>
          <w:rFonts w:asciiTheme="minorHAnsi" w:hAnsiTheme="minorHAnsi"/>
          <w:lang w:val="en-AU" w:eastAsia="hr-HR"/>
        </w:rPr>
        <w:t xml:space="preserve"> and the outcomes of consortium discussions into a coherent strategic document. Through this integrated and iterative process, the Interregional Strategy was developed as a realistic, regionally anchored and future-oriented framework that supports Croatia’s hydrogen ambitions and contributes to coordinated hydrogen planning across Central Europe.</w:t>
      </w:r>
    </w:p>
    <w:p w14:paraId="5A5836CE" w14:textId="77777777" w:rsidR="005D2055" w:rsidRDefault="005D2055">
      <w:pPr>
        <w:spacing w:before="0" w:line="240" w:lineRule="auto"/>
        <w:ind w:left="0" w:right="0"/>
        <w:jc w:val="left"/>
        <w:rPr>
          <w:rFonts w:asciiTheme="minorHAnsi" w:hAnsiTheme="minorHAnsi"/>
          <w:lang w:val="en-AU" w:eastAsia="hr-HR"/>
        </w:rPr>
      </w:pPr>
      <w:r>
        <w:rPr>
          <w:rFonts w:asciiTheme="minorHAnsi" w:hAnsiTheme="minorHAnsi"/>
          <w:lang w:val="en-AU" w:eastAsia="hr-HR"/>
        </w:rPr>
        <w:br w:type="page"/>
      </w:r>
    </w:p>
    <w:p w14:paraId="31243A74" w14:textId="6F3F84FB" w:rsidR="00434458" w:rsidRDefault="003B41CF" w:rsidP="00E77506">
      <w:pPr>
        <w:pStyle w:val="CE-Headline1"/>
      </w:pPr>
      <w:bookmarkStart w:id="6" w:name="_Toc219232395"/>
      <w:r>
        <w:lastRenderedPageBreak/>
        <w:t>National fields of action for H2-ready regions</w:t>
      </w:r>
      <w:bookmarkEnd w:id="6"/>
    </w:p>
    <w:p w14:paraId="0F914191" w14:textId="73FDCB97" w:rsidR="00436EDB" w:rsidRPr="00103D47" w:rsidRDefault="003B41CF" w:rsidP="003B41CF">
      <w:pPr>
        <w:pStyle w:val="CE-Headline2"/>
        <w:rPr>
          <w:lang w:val="en-AU"/>
        </w:rPr>
      </w:pPr>
      <w:bookmarkStart w:id="7" w:name="_Toc219232396"/>
      <w:r w:rsidRPr="003B41CF">
        <w:t xml:space="preserve">National </w:t>
      </w:r>
      <w:r>
        <w:t>v</w:t>
      </w:r>
      <w:r w:rsidRPr="003B41CF">
        <w:t xml:space="preserve">ision and </w:t>
      </w:r>
      <w:r>
        <w:t>t</w:t>
      </w:r>
      <w:r w:rsidRPr="003B41CF">
        <w:t>arget-</w:t>
      </w:r>
      <w:r>
        <w:t>s</w:t>
      </w:r>
      <w:r w:rsidRPr="003B41CF">
        <w:t>etting for Hydrogen in Croatia</w:t>
      </w:r>
      <w:bookmarkEnd w:id="7"/>
    </w:p>
    <w:p w14:paraId="3B66B0CD" w14:textId="77777777" w:rsidR="00103D47" w:rsidRPr="00103D47" w:rsidRDefault="00103D47" w:rsidP="00BA551E">
      <w:pPr>
        <w:pStyle w:val="CE-StandardText"/>
        <w:rPr>
          <w:lang w:val="en-AU"/>
        </w:rPr>
      </w:pPr>
      <w:r w:rsidRPr="00103D47">
        <w:rPr>
          <w:lang w:val="en-AU"/>
        </w:rPr>
        <w:t>Croatia’s national vision for hydrogen development is embedded within the broader framework of the European Union’s decarbonization agenda, the European Green Deal, and the REPowerEU plan. Recognizing hydrogen as a cornerstone of the transition towards climate neutrality by 2050, Croatia has positioned hydrogen as a strategic energy vector to decarbonize hard-to-abate sectors, foster industrial competitiveness, and enhance energy security.</w:t>
      </w:r>
    </w:p>
    <w:p w14:paraId="72C99AF8" w14:textId="369F749E" w:rsidR="00103D47" w:rsidRDefault="00103D47" w:rsidP="00BA551E">
      <w:pPr>
        <w:pStyle w:val="CE-StandardText"/>
        <w:rPr>
          <w:lang w:val="en-AU"/>
        </w:rPr>
      </w:pPr>
      <w:r w:rsidRPr="00103D47">
        <w:rPr>
          <w:lang w:val="en-AU"/>
        </w:rPr>
        <w:t xml:space="preserve">The Hydrogen Strategy of the Republic of Croatia until 2050, adopted in </w:t>
      </w:r>
      <w:r w:rsidR="007D6A81">
        <w:rPr>
          <w:lang w:val="en-AU"/>
        </w:rPr>
        <w:t>2022</w:t>
      </w:r>
      <w:r w:rsidRPr="00103D47">
        <w:rPr>
          <w:lang w:val="en-AU"/>
        </w:rPr>
        <w:t>, lays the foundation for a comprehensive approach to developing a domestic hydrogen economy. This strategy aligns with the EU Hydrogen Strategy (2020) and Fit for 55 package, emphasizing renewable hydrogen as the primary driver of a sustainable and resilient energy system.</w:t>
      </w:r>
    </w:p>
    <w:p w14:paraId="6A93F9DC" w14:textId="282149E8" w:rsidR="00103D47" w:rsidRPr="00103D47" w:rsidRDefault="00103D47" w:rsidP="00500027">
      <w:pPr>
        <w:spacing w:before="100" w:beforeAutospacing="1" w:after="100" w:afterAutospacing="1"/>
        <w:ind w:left="0" w:right="0"/>
        <w:rPr>
          <w:sz w:val="24"/>
          <w:szCs w:val="24"/>
          <w:lang w:val="en-AU" w:eastAsia="hr-HR"/>
        </w:rPr>
      </w:pPr>
      <w:r w:rsidRPr="00103D47">
        <w:rPr>
          <w:rFonts w:asciiTheme="minorHAnsi" w:hAnsiTheme="minorHAnsi"/>
          <w:lang w:val="en-AU" w:eastAsia="hr-HR"/>
        </w:rPr>
        <w:t>Croatia envisions becoming a regional hub for green hydrogen production, storage, and distribution in Southeast Europe, leveraging its abundant renewable energy potential — particularly solar, wind, and hydropower — as well as its well-developed gas infrastructure and favourable geographic position</w:t>
      </w:r>
      <w:r w:rsidRPr="00103D47">
        <w:rPr>
          <w:sz w:val="24"/>
          <w:szCs w:val="24"/>
          <w:lang w:val="en-AU" w:eastAsia="hr-HR"/>
        </w:rPr>
        <w:t>.</w:t>
      </w:r>
    </w:p>
    <w:p w14:paraId="49E549FC" w14:textId="77777777" w:rsidR="00103D47" w:rsidRPr="00103D47" w:rsidRDefault="00103D47" w:rsidP="00500027">
      <w:pPr>
        <w:spacing w:before="100" w:beforeAutospacing="1" w:after="100" w:afterAutospacing="1"/>
        <w:ind w:left="0" w:right="0"/>
        <w:rPr>
          <w:rFonts w:asciiTheme="minorHAnsi" w:hAnsiTheme="minorHAnsi"/>
          <w:lang w:val="en-AU" w:eastAsia="hr-HR"/>
        </w:rPr>
      </w:pPr>
      <w:r w:rsidRPr="00103D47">
        <w:rPr>
          <w:rFonts w:asciiTheme="minorHAnsi" w:hAnsiTheme="minorHAnsi"/>
          <w:lang w:val="en-AU" w:eastAsia="hr-HR"/>
        </w:rPr>
        <w:t>The long-term vision focuses on integrating hydrogen into the national energy system, fostering synergies between electricity, gas, transport, and industrial sectors. The aim is not only to decarbonize domestic energy consumption but also to establish Croatia as a key player in the European hydrogen market, particularly through export opportunities and regional cooperation in the Adriatic-Balkan corridor.</w:t>
      </w:r>
    </w:p>
    <w:p w14:paraId="7C5412F3" w14:textId="77777777" w:rsidR="00103D47" w:rsidRPr="00103D47" w:rsidRDefault="00103D47" w:rsidP="00500027">
      <w:pPr>
        <w:spacing w:before="100" w:beforeAutospacing="1" w:after="100" w:afterAutospacing="1"/>
        <w:ind w:left="0" w:right="0"/>
        <w:jc w:val="left"/>
        <w:rPr>
          <w:rFonts w:asciiTheme="minorHAnsi" w:hAnsiTheme="minorHAnsi"/>
          <w:lang w:val="en-AU" w:eastAsia="hr-HR"/>
        </w:rPr>
      </w:pPr>
      <w:r w:rsidRPr="00103D47">
        <w:rPr>
          <w:rFonts w:asciiTheme="minorHAnsi" w:hAnsiTheme="minorHAnsi"/>
          <w:lang w:val="en-AU" w:eastAsia="hr-HR"/>
        </w:rPr>
        <w:t>The vision is guided by three core pillars:</w:t>
      </w:r>
    </w:p>
    <w:p w14:paraId="4067DC47" w14:textId="77777777" w:rsidR="00103D47" w:rsidRPr="00103D47" w:rsidRDefault="00103D47" w:rsidP="00500027">
      <w:pPr>
        <w:numPr>
          <w:ilvl w:val="0"/>
          <w:numId w:val="53"/>
        </w:numPr>
        <w:spacing w:before="100" w:beforeAutospacing="1" w:after="100" w:afterAutospacing="1"/>
        <w:ind w:right="0"/>
        <w:jc w:val="left"/>
        <w:rPr>
          <w:rFonts w:asciiTheme="minorHAnsi" w:hAnsiTheme="minorHAnsi"/>
          <w:lang w:val="en-AU" w:eastAsia="hr-HR"/>
        </w:rPr>
      </w:pPr>
      <w:r w:rsidRPr="00103D47">
        <w:rPr>
          <w:rFonts w:asciiTheme="minorHAnsi" w:hAnsiTheme="minorHAnsi"/>
          <w:lang w:val="en-AU" w:eastAsia="hr-HR"/>
        </w:rPr>
        <w:t>Sustainability: Promote the use of renewable hydrogen to support Croatia’s commitment to carbon neutrality by 2050.</w:t>
      </w:r>
    </w:p>
    <w:p w14:paraId="6B7A6E20" w14:textId="77777777" w:rsidR="00103D47" w:rsidRPr="00103D47" w:rsidRDefault="00103D47" w:rsidP="00500027">
      <w:pPr>
        <w:numPr>
          <w:ilvl w:val="0"/>
          <w:numId w:val="53"/>
        </w:numPr>
        <w:spacing w:before="100" w:beforeAutospacing="1" w:after="100" w:afterAutospacing="1"/>
        <w:ind w:right="0"/>
        <w:jc w:val="left"/>
        <w:rPr>
          <w:rFonts w:asciiTheme="minorHAnsi" w:hAnsiTheme="minorHAnsi"/>
          <w:lang w:val="en-AU" w:eastAsia="hr-HR"/>
        </w:rPr>
      </w:pPr>
      <w:r w:rsidRPr="00103D47">
        <w:rPr>
          <w:rFonts w:asciiTheme="minorHAnsi" w:hAnsiTheme="minorHAnsi"/>
          <w:lang w:val="en-AU" w:eastAsia="hr-HR"/>
        </w:rPr>
        <w:t>Energy Security and Independence: Reduce reliance on imported fossil fuels through domestic hydrogen production.</w:t>
      </w:r>
    </w:p>
    <w:p w14:paraId="52DFB5C3" w14:textId="77777777" w:rsidR="00103D47" w:rsidRPr="00103D47" w:rsidRDefault="00103D47" w:rsidP="00500027">
      <w:pPr>
        <w:numPr>
          <w:ilvl w:val="0"/>
          <w:numId w:val="53"/>
        </w:numPr>
        <w:spacing w:before="100" w:beforeAutospacing="1" w:after="100" w:afterAutospacing="1"/>
        <w:ind w:right="0"/>
        <w:jc w:val="left"/>
        <w:rPr>
          <w:rFonts w:asciiTheme="minorHAnsi" w:hAnsiTheme="minorHAnsi"/>
          <w:lang w:val="en-AU" w:eastAsia="hr-HR"/>
        </w:rPr>
      </w:pPr>
      <w:r w:rsidRPr="00103D47">
        <w:rPr>
          <w:rFonts w:asciiTheme="minorHAnsi" w:hAnsiTheme="minorHAnsi"/>
          <w:lang w:val="en-AU" w:eastAsia="hr-HR"/>
        </w:rPr>
        <w:t>Economic Development and Innovation: Stimulate industrial transformation, innovation, and job creation across the hydrogen value chain.</w:t>
      </w:r>
    </w:p>
    <w:p w14:paraId="3F440807" w14:textId="648AA372" w:rsidR="00103D47" w:rsidRPr="00985093" w:rsidRDefault="00103D47" w:rsidP="00500027">
      <w:pPr>
        <w:spacing w:before="100" w:beforeAutospacing="1" w:after="100" w:afterAutospacing="1"/>
        <w:ind w:left="0" w:right="0"/>
        <w:jc w:val="left"/>
        <w:rPr>
          <w:rFonts w:asciiTheme="minorHAnsi" w:hAnsiTheme="minorHAnsi"/>
          <w:lang w:val="en-AU" w:eastAsia="hr-HR"/>
        </w:rPr>
      </w:pPr>
      <w:r w:rsidRPr="00500027">
        <w:rPr>
          <w:rFonts w:asciiTheme="minorHAnsi" w:hAnsiTheme="minorHAnsi"/>
          <w:lang w:val="en-AU" w:eastAsia="hr-HR"/>
        </w:rPr>
        <w:t xml:space="preserve">Croatia’s hydrogen targets are structured around three main time horizons — </w:t>
      </w:r>
      <w:r w:rsidRPr="00500027">
        <w:rPr>
          <w:rFonts w:asciiTheme="minorHAnsi" w:hAnsiTheme="minorHAnsi"/>
          <w:b/>
          <w:bCs/>
          <w:lang w:val="en-AU" w:eastAsia="hr-HR"/>
        </w:rPr>
        <w:t>202</w:t>
      </w:r>
      <w:r w:rsidR="00500027" w:rsidRPr="00500027">
        <w:rPr>
          <w:rFonts w:asciiTheme="minorHAnsi" w:hAnsiTheme="minorHAnsi"/>
          <w:b/>
          <w:bCs/>
          <w:lang w:val="en-AU" w:eastAsia="hr-HR"/>
        </w:rPr>
        <w:t>6</w:t>
      </w:r>
      <w:r w:rsidRPr="00500027">
        <w:rPr>
          <w:rFonts w:asciiTheme="minorHAnsi" w:hAnsiTheme="minorHAnsi"/>
          <w:b/>
          <w:bCs/>
          <w:lang w:val="en-AU" w:eastAsia="hr-HR"/>
        </w:rPr>
        <w:t>, 2030, and 2050</w:t>
      </w:r>
      <w:r w:rsidRPr="00500027">
        <w:rPr>
          <w:rFonts w:asciiTheme="minorHAnsi" w:hAnsiTheme="minorHAnsi"/>
          <w:lang w:val="en-AU" w:eastAsia="hr-HR"/>
        </w:rPr>
        <w:t xml:space="preserve"> — in alignment with EU goals and technological maturity milestones.</w:t>
      </w:r>
      <w:r w:rsidR="00985093" w:rsidRPr="00500027">
        <w:rPr>
          <w:rFonts w:asciiTheme="minorHAnsi" w:hAnsiTheme="minorHAnsi"/>
          <w:lang w:val="en-AU" w:eastAsia="hr-HR"/>
        </w:rPr>
        <w:t xml:space="preserve"> </w:t>
      </w:r>
      <w:r w:rsidR="00985093" w:rsidRPr="00500027">
        <w:rPr>
          <w:rFonts w:asciiTheme="minorHAnsi" w:hAnsiTheme="minorHAnsi"/>
        </w:rPr>
        <w:t>The short-term targets (by 202</w:t>
      </w:r>
      <w:r w:rsidR="00500027" w:rsidRPr="00500027">
        <w:rPr>
          <w:rFonts w:asciiTheme="minorHAnsi" w:hAnsiTheme="minorHAnsi"/>
        </w:rPr>
        <w:t>6</w:t>
      </w:r>
      <w:r w:rsidR="00985093" w:rsidRPr="00500027">
        <w:rPr>
          <w:rFonts w:asciiTheme="minorHAnsi" w:hAnsiTheme="minorHAnsi"/>
        </w:rPr>
        <w:t>)</w:t>
      </w:r>
      <w:r w:rsidR="00985093" w:rsidRPr="00985093">
        <w:rPr>
          <w:rFonts w:asciiTheme="minorHAnsi" w:hAnsiTheme="minorHAnsi"/>
        </w:rPr>
        <w:t xml:space="preserve"> are listed below.</w:t>
      </w:r>
    </w:p>
    <w:p w14:paraId="5C709051" w14:textId="77777777" w:rsidR="00103D47" w:rsidRPr="00103D47" w:rsidRDefault="00103D47" w:rsidP="00500027">
      <w:pPr>
        <w:numPr>
          <w:ilvl w:val="0"/>
          <w:numId w:val="54"/>
        </w:numPr>
        <w:spacing w:before="100" w:beforeAutospacing="1" w:after="100" w:afterAutospacing="1"/>
        <w:ind w:right="0"/>
        <w:jc w:val="left"/>
        <w:rPr>
          <w:rFonts w:asciiTheme="minorHAnsi" w:hAnsiTheme="minorHAnsi"/>
          <w:lang w:val="en-AU" w:eastAsia="hr-HR"/>
        </w:rPr>
      </w:pPr>
      <w:r w:rsidRPr="00103D47">
        <w:rPr>
          <w:rFonts w:asciiTheme="minorHAnsi" w:hAnsiTheme="minorHAnsi"/>
          <w:lang w:val="en-AU" w:eastAsia="hr-HR"/>
        </w:rPr>
        <w:t xml:space="preserve">Establish a </w:t>
      </w:r>
      <w:r w:rsidRPr="00103D47">
        <w:rPr>
          <w:rFonts w:asciiTheme="minorHAnsi" w:hAnsiTheme="minorHAnsi"/>
          <w:b/>
          <w:bCs/>
          <w:lang w:val="en-AU" w:eastAsia="hr-HR"/>
        </w:rPr>
        <w:t>national hydrogen ecosystem</w:t>
      </w:r>
      <w:r w:rsidRPr="00103D47">
        <w:rPr>
          <w:rFonts w:asciiTheme="minorHAnsi" w:hAnsiTheme="minorHAnsi"/>
          <w:lang w:val="en-AU" w:eastAsia="hr-HR"/>
        </w:rPr>
        <w:t>, including regulatory, institutional, and technical frameworks.</w:t>
      </w:r>
    </w:p>
    <w:p w14:paraId="655D4F83" w14:textId="5330BDC2" w:rsidR="00103D47" w:rsidRPr="00103D47" w:rsidRDefault="00103D47" w:rsidP="00500027">
      <w:pPr>
        <w:numPr>
          <w:ilvl w:val="0"/>
          <w:numId w:val="54"/>
        </w:numPr>
        <w:spacing w:before="100" w:beforeAutospacing="1" w:after="100" w:afterAutospacing="1"/>
        <w:ind w:right="0"/>
        <w:jc w:val="left"/>
        <w:rPr>
          <w:rFonts w:asciiTheme="minorHAnsi" w:hAnsiTheme="minorHAnsi"/>
          <w:lang w:val="en-AU" w:eastAsia="hr-HR"/>
        </w:rPr>
      </w:pPr>
      <w:r w:rsidRPr="00103D47">
        <w:rPr>
          <w:rFonts w:asciiTheme="minorHAnsi" w:hAnsiTheme="minorHAnsi"/>
          <w:lang w:val="en-AU" w:eastAsia="hr-HR"/>
        </w:rPr>
        <w:t xml:space="preserve">Develop </w:t>
      </w:r>
      <w:r w:rsidRPr="00103D47">
        <w:rPr>
          <w:rFonts w:asciiTheme="minorHAnsi" w:hAnsiTheme="minorHAnsi"/>
          <w:b/>
          <w:bCs/>
          <w:lang w:val="en-AU" w:eastAsia="hr-HR"/>
        </w:rPr>
        <w:t>pilot and demonstration projects</w:t>
      </w:r>
      <w:r w:rsidRPr="00103D47">
        <w:rPr>
          <w:rFonts w:asciiTheme="minorHAnsi" w:hAnsiTheme="minorHAnsi"/>
          <w:lang w:val="en-AU" w:eastAsia="hr-HR"/>
        </w:rPr>
        <w:t xml:space="preserve"> for renewable hydrogen production, focusing on electrolysis powered by solar </w:t>
      </w:r>
      <w:r w:rsidR="002547DE">
        <w:rPr>
          <w:rFonts w:asciiTheme="minorHAnsi" w:hAnsiTheme="minorHAnsi"/>
          <w:lang w:val="en-AU" w:eastAsia="hr-HR"/>
        </w:rPr>
        <w:t xml:space="preserve">power plants </w:t>
      </w:r>
      <w:r w:rsidRPr="00103D47">
        <w:rPr>
          <w:rFonts w:asciiTheme="minorHAnsi" w:hAnsiTheme="minorHAnsi"/>
          <w:lang w:val="en-AU" w:eastAsia="hr-HR"/>
        </w:rPr>
        <w:t>and wind farms.</w:t>
      </w:r>
    </w:p>
    <w:p w14:paraId="47C0377F" w14:textId="77777777" w:rsidR="00103D47" w:rsidRPr="00103D47" w:rsidRDefault="00103D47" w:rsidP="00500027">
      <w:pPr>
        <w:numPr>
          <w:ilvl w:val="0"/>
          <w:numId w:val="54"/>
        </w:numPr>
        <w:spacing w:before="100" w:beforeAutospacing="1" w:after="100" w:afterAutospacing="1"/>
        <w:ind w:right="0"/>
        <w:jc w:val="left"/>
        <w:rPr>
          <w:rFonts w:asciiTheme="minorHAnsi" w:hAnsiTheme="minorHAnsi"/>
          <w:lang w:val="en-AU" w:eastAsia="hr-HR"/>
        </w:rPr>
      </w:pPr>
      <w:r w:rsidRPr="00103D47">
        <w:rPr>
          <w:rFonts w:asciiTheme="minorHAnsi" w:hAnsiTheme="minorHAnsi"/>
          <w:lang w:val="en-AU" w:eastAsia="hr-HR"/>
        </w:rPr>
        <w:t xml:space="preserve">Deploy </w:t>
      </w:r>
      <w:r w:rsidRPr="00103D47">
        <w:rPr>
          <w:rFonts w:asciiTheme="minorHAnsi" w:hAnsiTheme="minorHAnsi"/>
          <w:b/>
          <w:bCs/>
          <w:lang w:val="en-AU" w:eastAsia="hr-HR"/>
        </w:rPr>
        <w:t>initial hydrogen refueling infrastructure</w:t>
      </w:r>
      <w:r w:rsidRPr="00103D47">
        <w:rPr>
          <w:rFonts w:asciiTheme="minorHAnsi" w:hAnsiTheme="minorHAnsi"/>
          <w:lang w:val="en-AU" w:eastAsia="hr-HR"/>
        </w:rPr>
        <w:t xml:space="preserve"> for public transport and logistics in major cities such as Zagreb, Rijeka, and Split.</w:t>
      </w:r>
    </w:p>
    <w:p w14:paraId="341DD3FC" w14:textId="77777777" w:rsidR="00103D47" w:rsidRPr="00103D47" w:rsidRDefault="00103D47" w:rsidP="00500027">
      <w:pPr>
        <w:numPr>
          <w:ilvl w:val="0"/>
          <w:numId w:val="54"/>
        </w:numPr>
        <w:spacing w:before="100" w:beforeAutospacing="1" w:after="100" w:afterAutospacing="1"/>
        <w:ind w:right="0"/>
        <w:jc w:val="left"/>
        <w:rPr>
          <w:rFonts w:asciiTheme="minorHAnsi" w:hAnsiTheme="minorHAnsi"/>
          <w:lang w:val="en-AU" w:eastAsia="hr-HR"/>
        </w:rPr>
      </w:pPr>
      <w:r w:rsidRPr="00103D47">
        <w:rPr>
          <w:rFonts w:asciiTheme="minorHAnsi" w:hAnsiTheme="minorHAnsi"/>
          <w:lang w:val="en-AU" w:eastAsia="hr-HR"/>
        </w:rPr>
        <w:t xml:space="preserve">Initiate </w:t>
      </w:r>
      <w:r w:rsidRPr="00103D47">
        <w:rPr>
          <w:rFonts w:asciiTheme="minorHAnsi" w:hAnsiTheme="minorHAnsi"/>
          <w:b/>
          <w:bCs/>
          <w:lang w:val="en-AU" w:eastAsia="hr-HR"/>
        </w:rPr>
        <w:t>industrial trials</w:t>
      </w:r>
      <w:r w:rsidRPr="00103D47">
        <w:rPr>
          <w:rFonts w:asciiTheme="minorHAnsi" w:hAnsiTheme="minorHAnsi"/>
          <w:lang w:val="en-AU" w:eastAsia="hr-HR"/>
        </w:rPr>
        <w:t xml:space="preserve"> in refineries, chemical plants, and steel industries to assess hydrogen substitution potential.</w:t>
      </w:r>
    </w:p>
    <w:p w14:paraId="775A4402" w14:textId="77777777" w:rsidR="00103D47" w:rsidRPr="00103D47" w:rsidRDefault="00103D47" w:rsidP="00500027">
      <w:pPr>
        <w:numPr>
          <w:ilvl w:val="0"/>
          <w:numId w:val="54"/>
        </w:numPr>
        <w:spacing w:before="100" w:beforeAutospacing="1" w:after="100" w:afterAutospacing="1"/>
        <w:ind w:right="0"/>
        <w:jc w:val="left"/>
        <w:rPr>
          <w:rFonts w:asciiTheme="minorHAnsi" w:hAnsiTheme="minorHAnsi"/>
          <w:lang w:val="en-AU" w:eastAsia="hr-HR"/>
        </w:rPr>
      </w:pPr>
      <w:r w:rsidRPr="00103D47">
        <w:rPr>
          <w:rFonts w:asciiTheme="minorHAnsi" w:hAnsiTheme="minorHAnsi"/>
          <w:lang w:val="en-AU" w:eastAsia="hr-HR"/>
        </w:rPr>
        <w:t xml:space="preserve">Strengthen </w:t>
      </w:r>
      <w:r w:rsidRPr="00103D47">
        <w:rPr>
          <w:rFonts w:asciiTheme="minorHAnsi" w:hAnsiTheme="minorHAnsi"/>
          <w:b/>
          <w:bCs/>
          <w:lang w:val="en-AU" w:eastAsia="hr-HR"/>
        </w:rPr>
        <w:t>R&amp;D and innovation capacities</w:t>
      </w:r>
      <w:r w:rsidRPr="00103D47">
        <w:rPr>
          <w:rFonts w:asciiTheme="minorHAnsi" w:hAnsiTheme="minorHAnsi"/>
          <w:lang w:val="en-AU" w:eastAsia="hr-HR"/>
        </w:rPr>
        <w:t>, supporting universities, research centers, and startups in hydrogen technologies.</w:t>
      </w:r>
    </w:p>
    <w:p w14:paraId="3A2A66DE" w14:textId="17B9113A" w:rsidR="00985093" w:rsidRDefault="00985093" w:rsidP="00BA551E">
      <w:pPr>
        <w:pStyle w:val="CE-StandardText"/>
        <w:rPr>
          <w:rFonts w:asciiTheme="minorHAnsi" w:hAnsiTheme="minorHAnsi"/>
          <w:b/>
          <w:bCs/>
          <w:lang w:val="en-AU" w:eastAsia="hr-HR"/>
        </w:rPr>
      </w:pPr>
      <w:r>
        <w:t>The medium-term targets (by 2030) are outlined below.</w:t>
      </w:r>
    </w:p>
    <w:p w14:paraId="7DAE4439" w14:textId="77777777" w:rsidR="00103D47" w:rsidRPr="00103D47" w:rsidRDefault="00103D47" w:rsidP="00D328E5">
      <w:pPr>
        <w:numPr>
          <w:ilvl w:val="0"/>
          <w:numId w:val="55"/>
        </w:numPr>
        <w:spacing w:before="100" w:beforeAutospacing="1" w:after="100" w:afterAutospacing="1"/>
        <w:ind w:right="0"/>
        <w:jc w:val="left"/>
        <w:rPr>
          <w:rFonts w:asciiTheme="minorHAnsi" w:hAnsiTheme="minorHAnsi"/>
          <w:lang w:val="en-AU" w:eastAsia="hr-HR"/>
        </w:rPr>
      </w:pPr>
      <w:r w:rsidRPr="00103D47">
        <w:rPr>
          <w:rFonts w:asciiTheme="minorHAnsi" w:hAnsiTheme="minorHAnsi"/>
          <w:lang w:val="en-AU" w:eastAsia="hr-HR"/>
        </w:rPr>
        <w:lastRenderedPageBreak/>
        <w:t xml:space="preserve">Achieve </w:t>
      </w:r>
      <w:r w:rsidRPr="00103D47">
        <w:rPr>
          <w:rFonts w:asciiTheme="minorHAnsi" w:hAnsiTheme="minorHAnsi"/>
          <w:b/>
          <w:bCs/>
          <w:lang w:val="en-AU" w:eastAsia="hr-HR"/>
        </w:rPr>
        <w:t>production capacity of at least 70 MW of installed electrolyzers</w:t>
      </w:r>
      <w:r w:rsidRPr="00103D47">
        <w:rPr>
          <w:rFonts w:asciiTheme="minorHAnsi" w:hAnsiTheme="minorHAnsi"/>
          <w:lang w:val="en-AU" w:eastAsia="hr-HR"/>
        </w:rPr>
        <w:t xml:space="preserve">, generating </w:t>
      </w:r>
      <w:r w:rsidRPr="00103D47">
        <w:rPr>
          <w:rFonts w:asciiTheme="minorHAnsi" w:hAnsiTheme="minorHAnsi"/>
          <w:b/>
          <w:bCs/>
          <w:lang w:val="en-AU" w:eastAsia="hr-HR"/>
        </w:rPr>
        <w:t>up to 10,000 tonnes of renewable hydrogen annually</w:t>
      </w:r>
      <w:r w:rsidRPr="00103D47">
        <w:rPr>
          <w:rFonts w:asciiTheme="minorHAnsi" w:hAnsiTheme="minorHAnsi"/>
          <w:lang w:val="en-AU" w:eastAsia="hr-HR"/>
        </w:rPr>
        <w:t>.</w:t>
      </w:r>
    </w:p>
    <w:p w14:paraId="217C3865" w14:textId="77777777" w:rsidR="00103D47" w:rsidRPr="00103D47" w:rsidRDefault="00103D47" w:rsidP="00D328E5">
      <w:pPr>
        <w:numPr>
          <w:ilvl w:val="0"/>
          <w:numId w:val="55"/>
        </w:numPr>
        <w:spacing w:before="100" w:beforeAutospacing="1" w:after="100" w:afterAutospacing="1"/>
        <w:ind w:right="0"/>
        <w:jc w:val="left"/>
        <w:rPr>
          <w:rFonts w:asciiTheme="minorHAnsi" w:hAnsiTheme="minorHAnsi"/>
          <w:lang w:val="en-AU" w:eastAsia="hr-HR"/>
        </w:rPr>
      </w:pPr>
      <w:r w:rsidRPr="00103D47">
        <w:rPr>
          <w:rFonts w:asciiTheme="minorHAnsi" w:hAnsiTheme="minorHAnsi"/>
          <w:lang w:val="en-AU" w:eastAsia="hr-HR"/>
        </w:rPr>
        <w:t xml:space="preserve">Integrate hydrogen into the </w:t>
      </w:r>
      <w:r w:rsidRPr="00103D47">
        <w:rPr>
          <w:rFonts w:asciiTheme="minorHAnsi" w:hAnsiTheme="minorHAnsi"/>
          <w:b/>
          <w:bCs/>
          <w:lang w:val="en-AU" w:eastAsia="hr-HR"/>
        </w:rPr>
        <w:t>national energy and transport systems</w:t>
      </w:r>
      <w:r w:rsidRPr="00103D47">
        <w:rPr>
          <w:rFonts w:asciiTheme="minorHAnsi" w:hAnsiTheme="minorHAnsi"/>
          <w:lang w:val="en-AU" w:eastAsia="hr-HR"/>
        </w:rPr>
        <w:t>, including blending in the natural gas grid where feasible.</w:t>
      </w:r>
    </w:p>
    <w:p w14:paraId="358C2D92" w14:textId="77777777" w:rsidR="00103D47" w:rsidRPr="00103D47" w:rsidRDefault="00103D47" w:rsidP="00D328E5">
      <w:pPr>
        <w:numPr>
          <w:ilvl w:val="0"/>
          <w:numId w:val="55"/>
        </w:numPr>
        <w:spacing w:before="100" w:beforeAutospacing="1" w:after="100" w:afterAutospacing="1"/>
        <w:ind w:right="0"/>
        <w:jc w:val="left"/>
        <w:rPr>
          <w:rFonts w:asciiTheme="minorHAnsi" w:hAnsiTheme="minorHAnsi"/>
          <w:lang w:val="en-AU" w:eastAsia="hr-HR"/>
        </w:rPr>
      </w:pPr>
      <w:r w:rsidRPr="00103D47">
        <w:rPr>
          <w:rFonts w:asciiTheme="minorHAnsi" w:hAnsiTheme="minorHAnsi"/>
          <w:lang w:val="en-AU" w:eastAsia="hr-HR"/>
        </w:rPr>
        <w:t xml:space="preserve">Establish </w:t>
      </w:r>
      <w:r w:rsidRPr="00103D47">
        <w:rPr>
          <w:rFonts w:asciiTheme="minorHAnsi" w:hAnsiTheme="minorHAnsi"/>
          <w:b/>
          <w:bCs/>
          <w:lang w:val="en-AU" w:eastAsia="hr-HR"/>
        </w:rPr>
        <w:t>a network of at least 10 hydrogen refueling stations</w:t>
      </w:r>
      <w:r w:rsidRPr="00103D47">
        <w:rPr>
          <w:rFonts w:asciiTheme="minorHAnsi" w:hAnsiTheme="minorHAnsi"/>
          <w:lang w:val="en-AU" w:eastAsia="hr-HR"/>
        </w:rPr>
        <w:t xml:space="preserve"> nationwide to support heavy-duty and fleet vehicles.</w:t>
      </w:r>
    </w:p>
    <w:p w14:paraId="5DBCFA53" w14:textId="77777777" w:rsidR="00103D47" w:rsidRPr="00103D47" w:rsidRDefault="00103D47" w:rsidP="00D328E5">
      <w:pPr>
        <w:numPr>
          <w:ilvl w:val="0"/>
          <w:numId w:val="55"/>
        </w:numPr>
        <w:spacing w:before="100" w:beforeAutospacing="1" w:after="100" w:afterAutospacing="1"/>
        <w:ind w:right="0"/>
        <w:jc w:val="left"/>
        <w:rPr>
          <w:rFonts w:asciiTheme="minorHAnsi" w:hAnsiTheme="minorHAnsi"/>
          <w:lang w:val="en-AU" w:eastAsia="hr-HR"/>
        </w:rPr>
      </w:pPr>
      <w:r w:rsidRPr="00103D47">
        <w:rPr>
          <w:rFonts w:asciiTheme="minorHAnsi" w:hAnsiTheme="minorHAnsi"/>
          <w:lang w:val="en-AU" w:eastAsia="hr-HR"/>
        </w:rPr>
        <w:t xml:space="preserve">Develop </w:t>
      </w:r>
      <w:r w:rsidRPr="00103D47">
        <w:rPr>
          <w:rFonts w:asciiTheme="minorHAnsi" w:hAnsiTheme="minorHAnsi"/>
          <w:b/>
          <w:bCs/>
          <w:lang w:val="en-AU" w:eastAsia="hr-HR"/>
        </w:rPr>
        <w:t>hydrogen valleys</w:t>
      </w:r>
      <w:r w:rsidRPr="00103D47">
        <w:rPr>
          <w:rFonts w:asciiTheme="minorHAnsi" w:hAnsiTheme="minorHAnsi"/>
          <w:lang w:val="en-AU" w:eastAsia="hr-HR"/>
        </w:rPr>
        <w:t xml:space="preserve"> — regional clusters connecting renewable energy production, hydrogen generation, industrial use, and transport.</w:t>
      </w:r>
    </w:p>
    <w:p w14:paraId="35DC3C83" w14:textId="77777777" w:rsidR="00103D47" w:rsidRPr="00103D47" w:rsidRDefault="00103D47" w:rsidP="00D328E5">
      <w:pPr>
        <w:numPr>
          <w:ilvl w:val="0"/>
          <w:numId w:val="55"/>
        </w:numPr>
        <w:spacing w:before="100" w:beforeAutospacing="1" w:after="100" w:afterAutospacing="1"/>
        <w:ind w:right="0"/>
        <w:jc w:val="left"/>
        <w:rPr>
          <w:rFonts w:asciiTheme="minorHAnsi" w:hAnsiTheme="minorHAnsi"/>
          <w:lang w:val="en-AU" w:eastAsia="hr-HR"/>
        </w:rPr>
      </w:pPr>
      <w:r w:rsidRPr="00103D47">
        <w:rPr>
          <w:rFonts w:asciiTheme="minorHAnsi" w:hAnsiTheme="minorHAnsi"/>
          <w:lang w:val="en-AU" w:eastAsia="hr-HR"/>
        </w:rPr>
        <w:t xml:space="preserve">Begin </w:t>
      </w:r>
      <w:r w:rsidRPr="00103D47">
        <w:rPr>
          <w:rFonts w:asciiTheme="minorHAnsi" w:hAnsiTheme="minorHAnsi"/>
          <w:b/>
          <w:bCs/>
          <w:lang w:val="en-AU" w:eastAsia="hr-HR"/>
        </w:rPr>
        <w:t>cross-border cooperation projects</w:t>
      </w:r>
      <w:r w:rsidRPr="00103D47">
        <w:rPr>
          <w:rFonts w:asciiTheme="minorHAnsi" w:hAnsiTheme="minorHAnsi"/>
          <w:lang w:val="en-AU" w:eastAsia="hr-HR"/>
        </w:rPr>
        <w:t xml:space="preserve"> with neighboring countries (Slovenia, Hungary, Italy, and others) for hydrogen trade and infrastructure connectivity.</w:t>
      </w:r>
    </w:p>
    <w:p w14:paraId="5D0A38D1" w14:textId="77777777" w:rsidR="00103D47" w:rsidRDefault="00103D47" w:rsidP="00D328E5">
      <w:pPr>
        <w:numPr>
          <w:ilvl w:val="0"/>
          <w:numId w:val="55"/>
        </w:numPr>
        <w:spacing w:before="100" w:beforeAutospacing="1" w:after="100" w:afterAutospacing="1"/>
        <w:ind w:right="0"/>
        <w:jc w:val="left"/>
        <w:rPr>
          <w:rFonts w:asciiTheme="minorHAnsi" w:hAnsiTheme="minorHAnsi"/>
          <w:lang w:val="en-AU" w:eastAsia="hr-HR"/>
        </w:rPr>
      </w:pPr>
      <w:r w:rsidRPr="00103D47">
        <w:rPr>
          <w:rFonts w:asciiTheme="minorHAnsi" w:hAnsiTheme="minorHAnsi"/>
          <w:lang w:val="en-AU" w:eastAsia="hr-HR"/>
        </w:rPr>
        <w:t xml:space="preserve">Ensure </w:t>
      </w:r>
      <w:r w:rsidRPr="00103D47">
        <w:rPr>
          <w:rFonts w:asciiTheme="minorHAnsi" w:hAnsiTheme="minorHAnsi"/>
          <w:b/>
          <w:bCs/>
          <w:lang w:val="en-AU" w:eastAsia="hr-HR"/>
        </w:rPr>
        <w:t>alignment with EU certification schemes</w:t>
      </w:r>
      <w:r w:rsidRPr="00103D47">
        <w:rPr>
          <w:rFonts w:asciiTheme="minorHAnsi" w:hAnsiTheme="minorHAnsi"/>
          <w:lang w:val="en-AU" w:eastAsia="hr-HR"/>
        </w:rPr>
        <w:t xml:space="preserve"> for renewable and low-carbon hydrogen.</w:t>
      </w:r>
    </w:p>
    <w:p w14:paraId="2A2AB8A5" w14:textId="3224BFB9" w:rsidR="00985093" w:rsidRPr="00985093" w:rsidRDefault="00985093" w:rsidP="00D328E5">
      <w:pPr>
        <w:spacing w:before="100" w:beforeAutospacing="1" w:after="100" w:afterAutospacing="1"/>
        <w:ind w:left="0" w:right="0"/>
        <w:jc w:val="left"/>
        <w:rPr>
          <w:rFonts w:asciiTheme="minorHAnsi" w:hAnsiTheme="minorHAnsi"/>
          <w:lang w:val="en-AU" w:eastAsia="hr-HR"/>
        </w:rPr>
      </w:pPr>
      <w:r w:rsidRPr="00985093">
        <w:rPr>
          <w:rFonts w:asciiTheme="minorHAnsi" w:hAnsiTheme="minorHAnsi"/>
        </w:rPr>
        <w:t>The long-term targets (by 2050) are presented below.</w:t>
      </w:r>
    </w:p>
    <w:p w14:paraId="6B122F8F" w14:textId="77777777" w:rsidR="00103D47" w:rsidRPr="00103D47" w:rsidRDefault="00103D47" w:rsidP="00D328E5">
      <w:pPr>
        <w:numPr>
          <w:ilvl w:val="0"/>
          <w:numId w:val="56"/>
        </w:numPr>
        <w:spacing w:before="100" w:beforeAutospacing="1" w:after="100" w:afterAutospacing="1"/>
        <w:ind w:right="0"/>
        <w:jc w:val="left"/>
        <w:rPr>
          <w:rFonts w:asciiTheme="minorHAnsi" w:hAnsiTheme="minorHAnsi"/>
          <w:lang w:val="en-AU" w:eastAsia="hr-HR"/>
        </w:rPr>
      </w:pPr>
      <w:r w:rsidRPr="00103D47">
        <w:rPr>
          <w:rFonts w:asciiTheme="minorHAnsi" w:hAnsiTheme="minorHAnsi"/>
          <w:lang w:val="en-AU" w:eastAsia="hr-HR"/>
        </w:rPr>
        <w:t xml:space="preserve">Position Croatia as a </w:t>
      </w:r>
      <w:r w:rsidRPr="00103D47">
        <w:rPr>
          <w:rFonts w:asciiTheme="minorHAnsi" w:hAnsiTheme="minorHAnsi"/>
          <w:b/>
          <w:bCs/>
          <w:lang w:val="en-AU" w:eastAsia="hr-HR"/>
        </w:rPr>
        <w:t>regional exporter of renewable hydrogen</w:t>
      </w:r>
      <w:r w:rsidRPr="00103D47">
        <w:rPr>
          <w:rFonts w:asciiTheme="minorHAnsi" w:hAnsiTheme="minorHAnsi"/>
          <w:lang w:val="en-AU" w:eastAsia="hr-HR"/>
        </w:rPr>
        <w:t>, particularly toward Central and Western European markets.</w:t>
      </w:r>
    </w:p>
    <w:p w14:paraId="33B7795C" w14:textId="77777777" w:rsidR="00103D47" w:rsidRPr="00103D47" w:rsidRDefault="00103D47" w:rsidP="00D328E5">
      <w:pPr>
        <w:numPr>
          <w:ilvl w:val="0"/>
          <w:numId w:val="56"/>
        </w:numPr>
        <w:spacing w:before="100" w:beforeAutospacing="1" w:after="100" w:afterAutospacing="1"/>
        <w:ind w:right="0"/>
        <w:jc w:val="left"/>
        <w:rPr>
          <w:rFonts w:asciiTheme="minorHAnsi" w:hAnsiTheme="minorHAnsi"/>
          <w:lang w:val="en-AU" w:eastAsia="hr-HR"/>
        </w:rPr>
      </w:pPr>
      <w:r w:rsidRPr="00103D47">
        <w:rPr>
          <w:rFonts w:asciiTheme="minorHAnsi" w:hAnsiTheme="minorHAnsi"/>
          <w:lang w:val="en-AU" w:eastAsia="hr-HR"/>
        </w:rPr>
        <w:t xml:space="preserve">Reach </w:t>
      </w:r>
      <w:r w:rsidRPr="00103D47">
        <w:rPr>
          <w:rFonts w:asciiTheme="minorHAnsi" w:hAnsiTheme="minorHAnsi"/>
          <w:b/>
          <w:bCs/>
          <w:lang w:val="en-AU" w:eastAsia="hr-HR"/>
        </w:rPr>
        <w:t>full integration of hydrogen</w:t>
      </w:r>
      <w:r w:rsidRPr="00103D47">
        <w:rPr>
          <w:rFonts w:asciiTheme="minorHAnsi" w:hAnsiTheme="minorHAnsi"/>
          <w:lang w:val="en-AU" w:eastAsia="hr-HR"/>
        </w:rPr>
        <w:t xml:space="preserve"> across energy, transport, and industrial systems, contributing significantly to net-zero emissions.</w:t>
      </w:r>
    </w:p>
    <w:p w14:paraId="20B7945E" w14:textId="77777777" w:rsidR="00103D47" w:rsidRPr="00103D47" w:rsidRDefault="00103D47" w:rsidP="00D328E5">
      <w:pPr>
        <w:numPr>
          <w:ilvl w:val="0"/>
          <w:numId w:val="56"/>
        </w:numPr>
        <w:spacing w:before="100" w:beforeAutospacing="1" w:after="100" w:afterAutospacing="1"/>
        <w:ind w:right="0"/>
        <w:jc w:val="left"/>
        <w:rPr>
          <w:rFonts w:asciiTheme="minorHAnsi" w:hAnsiTheme="minorHAnsi"/>
          <w:lang w:val="en-AU" w:eastAsia="hr-HR"/>
        </w:rPr>
      </w:pPr>
      <w:r w:rsidRPr="00103D47">
        <w:rPr>
          <w:rFonts w:asciiTheme="minorHAnsi" w:hAnsiTheme="minorHAnsi"/>
          <w:lang w:val="en-AU" w:eastAsia="hr-HR"/>
        </w:rPr>
        <w:t xml:space="preserve">Expand electrolyzer capacity to </w:t>
      </w:r>
      <w:r w:rsidRPr="00103D47">
        <w:rPr>
          <w:rFonts w:asciiTheme="minorHAnsi" w:hAnsiTheme="minorHAnsi"/>
          <w:b/>
          <w:bCs/>
          <w:lang w:val="en-AU" w:eastAsia="hr-HR"/>
        </w:rPr>
        <w:t>more than 1 GW</w:t>
      </w:r>
      <w:r w:rsidRPr="00103D47">
        <w:rPr>
          <w:rFonts w:asciiTheme="minorHAnsi" w:hAnsiTheme="minorHAnsi"/>
          <w:lang w:val="en-AU" w:eastAsia="hr-HR"/>
        </w:rPr>
        <w:t>, using Croatia’s renewable energy potential.</w:t>
      </w:r>
    </w:p>
    <w:p w14:paraId="3DC39ABD" w14:textId="77777777" w:rsidR="00103D47" w:rsidRPr="00103D47" w:rsidRDefault="00103D47" w:rsidP="00D328E5">
      <w:pPr>
        <w:numPr>
          <w:ilvl w:val="0"/>
          <w:numId w:val="56"/>
        </w:numPr>
        <w:spacing w:before="100" w:beforeAutospacing="1" w:after="100" w:afterAutospacing="1"/>
        <w:ind w:right="0"/>
        <w:jc w:val="left"/>
        <w:rPr>
          <w:rFonts w:asciiTheme="minorHAnsi" w:hAnsiTheme="minorHAnsi"/>
          <w:lang w:val="en-AU" w:eastAsia="hr-HR"/>
        </w:rPr>
      </w:pPr>
      <w:r w:rsidRPr="00103D47">
        <w:rPr>
          <w:rFonts w:asciiTheme="minorHAnsi" w:hAnsiTheme="minorHAnsi"/>
          <w:lang w:val="en-AU" w:eastAsia="hr-HR"/>
        </w:rPr>
        <w:t xml:space="preserve">Decarbonize </w:t>
      </w:r>
      <w:r w:rsidRPr="00103D47">
        <w:rPr>
          <w:rFonts w:asciiTheme="minorHAnsi" w:hAnsiTheme="minorHAnsi"/>
          <w:b/>
          <w:bCs/>
          <w:lang w:val="en-AU" w:eastAsia="hr-HR"/>
        </w:rPr>
        <w:t>hard-to-abate sectors</w:t>
      </w:r>
      <w:r w:rsidRPr="00103D47">
        <w:rPr>
          <w:rFonts w:asciiTheme="minorHAnsi" w:hAnsiTheme="minorHAnsi"/>
          <w:lang w:val="en-AU" w:eastAsia="hr-HR"/>
        </w:rPr>
        <w:t xml:space="preserve"> such as aviation, shipping, cement, and steel industries through large-scale hydrogen deployment.</w:t>
      </w:r>
    </w:p>
    <w:p w14:paraId="14140E2B" w14:textId="77777777" w:rsidR="00103D47" w:rsidRPr="00103D47" w:rsidRDefault="00103D47" w:rsidP="00D328E5">
      <w:pPr>
        <w:numPr>
          <w:ilvl w:val="0"/>
          <w:numId w:val="56"/>
        </w:numPr>
        <w:spacing w:before="100" w:beforeAutospacing="1" w:after="100" w:afterAutospacing="1"/>
        <w:ind w:right="0"/>
        <w:jc w:val="left"/>
        <w:rPr>
          <w:rFonts w:asciiTheme="minorHAnsi" w:hAnsiTheme="minorHAnsi"/>
          <w:lang w:val="en-AU" w:eastAsia="hr-HR"/>
        </w:rPr>
      </w:pPr>
      <w:r w:rsidRPr="00103D47">
        <w:rPr>
          <w:rFonts w:asciiTheme="minorHAnsi" w:hAnsiTheme="minorHAnsi"/>
          <w:lang w:val="en-AU" w:eastAsia="hr-HR"/>
        </w:rPr>
        <w:t xml:space="preserve">Establish </w:t>
      </w:r>
      <w:r w:rsidRPr="00103D47">
        <w:rPr>
          <w:rFonts w:asciiTheme="minorHAnsi" w:hAnsiTheme="minorHAnsi"/>
          <w:b/>
          <w:bCs/>
          <w:lang w:val="en-AU" w:eastAsia="hr-HR"/>
        </w:rPr>
        <w:t>hydrogen storage and distribution infrastructure</w:t>
      </w:r>
      <w:r w:rsidRPr="00103D47">
        <w:rPr>
          <w:rFonts w:asciiTheme="minorHAnsi" w:hAnsiTheme="minorHAnsi"/>
          <w:lang w:val="en-AU" w:eastAsia="hr-HR"/>
        </w:rPr>
        <w:t>, including underground storage in depleted gas fields and dedicated hydrogen pipelines (part of the future European Hydrogen Backbone).</w:t>
      </w:r>
    </w:p>
    <w:p w14:paraId="7DBAB8E3" w14:textId="77777777" w:rsidR="00103D47" w:rsidRPr="00103D47" w:rsidRDefault="00103D47" w:rsidP="00D328E5">
      <w:pPr>
        <w:spacing w:before="100" w:beforeAutospacing="1" w:after="100" w:afterAutospacing="1"/>
        <w:ind w:left="0" w:right="0"/>
        <w:rPr>
          <w:rFonts w:asciiTheme="minorHAnsi" w:hAnsiTheme="minorHAnsi"/>
          <w:lang w:val="en-AU" w:eastAsia="hr-HR"/>
        </w:rPr>
      </w:pPr>
      <w:r w:rsidRPr="00103D47">
        <w:rPr>
          <w:rFonts w:asciiTheme="minorHAnsi" w:hAnsiTheme="minorHAnsi"/>
          <w:lang w:val="en-AU" w:eastAsia="hr-HR"/>
        </w:rPr>
        <w:t xml:space="preserve">Croatia’s hydrogen vision is closely tied to the EU’s ambition to deploy 40 GW of renewable hydrogen electrolysis capacity by 2030 and produce 10 million tonnes of renewable hydrogen annually. Croatia aims to contribute to this goal through regional collaboration within the </w:t>
      </w:r>
      <w:r w:rsidRPr="00103D47">
        <w:rPr>
          <w:rFonts w:asciiTheme="minorHAnsi" w:hAnsiTheme="minorHAnsi"/>
          <w:b/>
          <w:bCs/>
          <w:lang w:val="en-AU" w:eastAsia="hr-HR"/>
        </w:rPr>
        <w:t>Adriatic-Ionian Hydrogen Corridor</w:t>
      </w:r>
      <w:r w:rsidRPr="00103D47">
        <w:rPr>
          <w:rFonts w:asciiTheme="minorHAnsi" w:hAnsiTheme="minorHAnsi"/>
          <w:lang w:val="en-AU" w:eastAsia="hr-HR"/>
        </w:rPr>
        <w:t xml:space="preserve"> and participation in Important Projects of Common European Interest (IPCEI) on hydrogen.</w:t>
      </w:r>
    </w:p>
    <w:p w14:paraId="7F53CB35" w14:textId="77777777" w:rsidR="00103D47" w:rsidRPr="00103D47" w:rsidRDefault="00103D47" w:rsidP="00D328E5">
      <w:pPr>
        <w:spacing w:before="100" w:beforeAutospacing="1" w:after="100" w:afterAutospacing="1"/>
        <w:ind w:left="0" w:right="0"/>
        <w:rPr>
          <w:rFonts w:asciiTheme="minorHAnsi" w:hAnsiTheme="minorHAnsi"/>
          <w:lang w:val="en-AU" w:eastAsia="hr-HR"/>
        </w:rPr>
      </w:pPr>
      <w:r w:rsidRPr="00103D47">
        <w:rPr>
          <w:rFonts w:asciiTheme="minorHAnsi" w:hAnsiTheme="minorHAnsi"/>
          <w:lang w:val="en-AU" w:eastAsia="hr-HR"/>
        </w:rPr>
        <w:t xml:space="preserve">Moreover, Croatia’s geographical advantages — including access to the Adriatic Sea, proximity to renewable energy resources, and existing LNG infrastructure — position it strategically within the emerging </w:t>
      </w:r>
      <w:r w:rsidRPr="00103D47">
        <w:rPr>
          <w:rFonts w:asciiTheme="minorHAnsi" w:hAnsiTheme="minorHAnsi"/>
          <w:b/>
          <w:bCs/>
          <w:lang w:val="en-AU" w:eastAsia="hr-HR"/>
        </w:rPr>
        <w:t>European Hydrogen Backbone</w:t>
      </w:r>
      <w:r w:rsidRPr="00103D47">
        <w:rPr>
          <w:rFonts w:asciiTheme="minorHAnsi" w:hAnsiTheme="minorHAnsi"/>
          <w:lang w:val="en-AU" w:eastAsia="hr-HR"/>
        </w:rPr>
        <w:t>, a network designed to transport hydrogen across the continent.</w:t>
      </w:r>
    </w:p>
    <w:p w14:paraId="1841D75A" w14:textId="77777777" w:rsidR="00103D47" w:rsidRPr="00103D47" w:rsidRDefault="00103D47" w:rsidP="00D328E5">
      <w:pPr>
        <w:spacing w:before="100" w:beforeAutospacing="1" w:after="100" w:afterAutospacing="1"/>
        <w:ind w:left="0" w:right="0"/>
        <w:jc w:val="left"/>
        <w:rPr>
          <w:rFonts w:asciiTheme="minorHAnsi" w:hAnsiTheme="minorHAnsi"/>
          <w:lang w:val="en-AU" w:eastAsia="hr-HR"/>
        </w:rPr>
      </w:pPr>
      <w:r w:rsidRPr="00103D47">
        <w:rPr>
          <w:rFonts w:asciiTheme="minorHAnsi" w:hAnsiTheme="minorHAnsi"/>
          <w:lang w:val="en-AU" w:eastAsia="hr-HR"/>
        </w:rPr>
        <w:t>Hydrogen development in Croatia is expected to:</w:t>
      </w:r>
    </w:p>
    <w:p w14:paraId="30EF48A0" w14:textId="77777777" w:rsidR="00103D47" w:rsidRPr="00103D47" w:rsidRDefault="00103D47" w:rsidP="00D328E5">
      <w:pPr>
        <w:numPr>
          <w:ilvl w:val="0"/>
          <w:numId w:val="58"/>
        </w:numPr>
        <w:spacing w:before="100" w:beforeAutospacing="1" w:after="100" w:afterAutospacing="1"/>
        <w:ind w:right="0"/>
        <w:jc w:val="left"/>
        <w:rPr>
          <w:rFonts w:asciiTheme="minorHAnsi" w:hAnsiTheme="minorHAnsi"/>
          <w:lang w:val="en-AU" w:eastAsia="hr-HR"/>
        </w:rPr>
      </w:pPr>
      <w:r w:rsidRPr="00103D47">
        <w:rPr>
          <w:rFonts w:asciiTheme="minorHAnsi" w:hAnsiTheme="minorHAnsi"/>
          <w:lang w:val="en-AU" w:eastAsia="hr-HR"/>
        </w:rPr>
        <w:t xml:space="preserve">Create </w:t>
      </w:r>
      <w:r w:rsidRPr="00103D47">
        <w:rPr>
          <w:rFonts w:asciiTheme="minorHAnsi" w:hAnsiTheme="minorHAnsi"/>
          <w:b/>
          <w:bCs/>
          <w:lang w:val="en-AU" w:eastAsia="hr-HR"/>
        </w:rPr>
        <w:t>new high-skilled jobs</w:t>
      </w:r>
      <w:r w:rsidRPr="00103D47">
        <w:rPr>
          <w:rFonts w:asciiTheme="minorHAnsi" w:hAnsiTheme="minorHAnsi"/>
          <w:lang w:val="en-AU" w:eastAsia="hr-HR"/>
        </w:rPr>
        <w:t xml:space="preserve"> in engineering, manufacturing, and energy services.</w:t>
      </w:r>
    </w:p>
    <w:p w14:paraId="66C1ED0D" w14:textId="77777777" w:rsidR="00103D47" w:rsidRPr="00103D47" w:rsidRDefault="00103D47" w:rsidP="00D328E5">
      <w:pPr>
        <w:numPr>
          <w:ilvl w:val="0"/>
          <w:numId w:val="58"/>
        </w:numPr>
        <w:spacing w:before="100" w:beforeAutospacing="1" w:after="100" w:afterAutospacing="1"/>
        <w:ind w:right="0"/>
        <w:jc w:val="left"/>
        <w:rPr>
          <w:rFonts w:asciiTheme="minorHAnsi" w:hAnsiTheme="minorHAnsi"/>
          <w:lang w:val="en-AU" w:eastAsia="hr-HR"/>
        </w:rPr>
      </w:pPr>
      <w:r w:rsidRPr="00103D47">
        <w:rPr>
          <w:rFonts w:asciiTheme="minorHAnsi" w:hAnsiTheme="minorHAnsi"/>
          <w:lang w:val="en-AU" w:eastAsia="hr-HR"/>
        </w:rPr>
        <w:t xml:space="preserve">Enhance </w:t>
      </w:r>
      <w:r w:rsidRPr="00103D47">
        <w:rPr>
          <w:rFonts w:asciiTheme="minorHAnsi" w:hAnsiTheme="minorHAnsi"/>
          <w:b/>
          <w:bCs/>
          <w:lang w:val="en-AU" w:eastAsia="hr-HR"/>
        </w:rPr>
        <w:t>industrial competitiveness</w:t>
      </w:r>
      <w:r w:rsidRPr="00103D47">
        <w:rPr>
          <w:rFonts w:asciiTheme="minorHAnsi" w:hAnsiTheme="minorHAnsi"/>
          <w:lang w:val="en-AU" w:eastAsia="hr-HR"/>
        </w:rPr>
        <w:t xml:space="preserve"> by enabling low-carbon production.</w:t>
      </w:r>
    </w:p>
    <w:p w14:paraId="38AFFE24" w14:textId="77777777" w:rsidR="00103D47" w:rsidRPr="00103D47" w:rsidRDefault="00103D47" w:rsidP="00D328E5">
      <w:pPr>
        <w:numPr>
          <w:ilvl w:val="0"/>
          <w:numId w:val="58"/>
        </w:numPr>
        <w:spacing w:before="100" w:beforeAutospacing="1" w:after="100" w:afterAutospacing="1"/>
        <w:ind w:right="0"/>
        <w:jc w:val="left"/>
        <w:rPr>
          <w:rFonts w:asciiTheme="minorHAnsi" w:hAnsiTheme="minorHAnsi"/>
          <w:lang w:val="en-AU" w:eastAsia="hr-HR"/>
        </w:rPr>
      </w:pPr>
      <w:r w:rsidRPr="00103D47">
        <w:rPr>
          <w:rFonts w:asciiTheme="minorHAnsi" w:hAnsiTheme="minorHAnsi"/>
          <w:lang w:val="en-AU" w:eastAsia="hr-HR"/>
        </w:rPr>
        <w:t xml:space="preserve">Stimulate </w:t>
      </w:r>
      <w:r w:rsidRPr="00103D47">
        <w:rPr>
          <w:rFonts w:asciiTheme="minorHAnsi" w:hAnsiTheme="minorHAnsi"/>
          <w:b/>
          <w:bCs/>
          <w:lang w:val="en-AU" w:eastAsia="hr-HR"/>
        </w:rPr>
        <w:t>technological innovation and export opportunities</w:t>
      </w:r>
      <w:r w:rsidRPr="00103D47">
        <w:rPr>
          <w:rFonts w:asciiTheme="minorHAnsi" w:hAnsiTheme="minorHAnsi"/>
          <w:lang w:val="en-AU" w:eastAsia="hr-HR"/>
        </w:rPr>
        <w:t xml:space="preserve"> in clean technologies.</w:t>
      </w:r>
    </w:p>
    <w:p w14:paraId="52B56C91" w14:textId="77777777" w:rsidR="00103D47" w:rsidRPr="00103D47" w:rsidRDefault="00103D47" w:rsidP="00D328E5">
      <w:pPr>
        <w:numPr>
          <w:ilvl w:val="0"/>
          <w:numId w:val="58"/>
        </w:numPr>
        <w:spacing w:before="100" w:beforeAutospacing="1" w:after="100" w:afterAutospacing="1"/>
        <w:ind w:right="0"/>
        <w:jc w:val="left"/>
        <w:rPr>
          <w:rFonts w:asciiTheme="minorHAnsi" w:hAnsiTheme="minorHAnsi"/>
          <w:lang w:val="en-AU" w:eastAsia="hr-HR"/>
        </w:rPr>
      </w:pPr>
      <w:r w:rsidRPr="00103D47">
        <w:rPr>
          <w:rFonts w:asciiTheme="minorHAnsi" w:hAnsiTheme="minorHAnsi"/>
          <w:lang w:val="en-AU" w:eastAsia="hr-HR"/>
        </w:rPr>
        <w:t xml:space="preserve">Support the </w:t>
      </w:r>
      <w:r w:rsidRPr="00103D47">
        <w:rPr>
          <w:rFonts w:asciiTheme="minorHAnsi" w:hAnsiTheme="minorHAnsi"/>
          <w:b/>
          <w:bCs/>
          <w:lang w:val="en-AU" w:eastAsia="hr-HR"/>
        </w:rPr>
        <w:t>just transition</w:t>
      </w:r>
      <w:r w:rsidRPr="00103D47">
        <w:rPr>
          <w:rFonts w:asciiTheme="minorHAnsi" w:hAnsiTheme="minorHAnsi"/>
          <w:lang w:val="en-AU" w:eastAsia="hr-HR"/>
        </w:rPr>
        <w:t xml:space="preserve"> of traditional energy regions, offering alternative employment and economic growth paths.</w:t>
      </w:r>
    </w:p>
    <w:p w14:paraId="19373814" w14:textId="414DE6B6" w:rsidR="00985093" w:rsidRDefault="00103D47" w:rsidP="00D328E5">
      <w:pPr>
        <w:spacing w:before="100" w:beforeAutospacing="1" w:after="100" w:afterAutospacing="1"/>
        <w:ind w:left="0" w:right="0"/>
        <w:rPr>
          <w:rFonts w:asciiTheme="minorHAnsi" w:hAnsiTheme="minorHAnsi"/>
          <w:lang w:val="en-AU" w:eastAsia="hr-HR"/>
        </w:rPr>
      </w:pPr>
      <w:r w:rsidRPr="00103D47">
        <w:rPr>
          <w:rFonts w:asciiTheme="minorHAnsi" w:hAnsiTheme="minorHAnsi"/>
          <w:lang w:val="en-AU" w:eastAsia="hr-HR"/>
        </w:rPr>
        <w:t xml:space="preserve">Croatia’s national vision for hydrogen represents a transformative agenda that aligns environmental, economic, and technological objectives. Through strategic investments, regulatory support, and cross-sectoral collaboration, Croatia aims to harness its renewable potential to become a </w:t>
      </w:r>
      <w:r w:rsidRPr="00103D47">
        <w:rPr>
          <w:rFonts w:asciiTheme="minorHAnsi" w:hAnsiTheme="minorHAnsi"/>
          <w:b/>
          <w:bCs/>
          <w:lang w:val="en-AU" w:eastAsia="hr-HR"/>
        </w:rPr>
        <w:t>hydrogen leader in Southeast Europe</w:t>
      </w:r>
      <w:r w:rsidRPr="00103D47">
        <w:rPr>
          <w:rFonts w:asciiTheme="minorHAnsi" w:hAnsiTheme="minorHAnsi"/>
          <w:lang w:val="en-AU" w:eastAsia="hr-HR"/>
        </w:rPr>
        <w:t xml:space="preserve"> by 2050. The country’s targets reflect not only its commitment to the EU’s climate neutrality goals but also its aspiration to secure a competitive and sustainable energy future.</w:t>
      </w:r>
    </w:p>
    <w:p w14:paraId="617E2F47" w14:textId="52111939" w:rsidR="00133EFC" w:rsidRPr="00133EFC" w:rsidRDefault="00985093" w:rsidP="00985093">
      <w:pPr>
        <w:spacing w:before="0" w:line="240" w:lineRule="auto"/>
        <w:ind w:left="0" w:right="0"/>
        <w:jc w:val="left"/>
        <w:rPr>
          <w:rFonts w:asciiTheme="minorHAnsi" w:hAnsiTheme="minorHAnsi"/>
          <w:lang w:val="en-AU" w:eastAsia="hr-HR"/>
        </w:rPr>
      </w:pPr>
      <w:r>
        <w:rPr>
          <w:rFonts w:asciiTheme="minorHAnsi" w:hAnsiTheme="minorHAnsi"/>
          <w:lang w:val="en-AU" w:eastAsia="hr-HR"/>
        </w:rPr>
        <w:br w:type="page"/>
      </w:r>
    </w:p>
    <w:p w14:paraId="23A45147" w14:textId="696F157E" w:rsidR="00F20312" w:rsidRPr="00133EFC" w:rsidRDefault="00F20312" w:rsidP="003B41CF">
      <w:pPr>
        <w:pStyle w:val="CE-Headline2"/>
        <w:rPr>
          <w:lang w:val="en-AU"/>
        </w:rPr>
      </w:pPr>
      <w:bookmarkStart w:id="8" w:name="_Toc219232397"/>
      <w:r>
        <w:lastRenderedPageBreak/>
        <w:t>Institutional and regulatory framework of the Republic of Croatia</w:t>
      </w:r>
      <w:bookmarkEnd w:id="8"/>
    </w:p>
    <w:p w14:paraId="57F6E35A" w14:textId="77777777" w:rsidR="00133EFC" w:rsidRPr="00133EFC" w:rsidRDefault="00133EFC" w:rsidP="00D328E5">
      <w:pPr>
        <w:spacing w:before="100" w:beforeAutospacing="1" w:after="100" w:afterAutospacing="1"/>
        <w:ind w:left="0" w:right="0"/>
        <w:rPr>
          <w:rFonts w:asciiTheme="minorHAnsi" w:hAnsiTheme="minorHAnsi"/>
          <w:lang w:val="en-AU" w:eastAsia="hr-HR"/>
        </w:rPr>
      </w:pPr>
      <w:r w:rsidRPr="00133EFC">
        <w:rPr>
          <w:rFonts w:asciiTheme="minorHAnsi" w:hAnsiTheme="minorHAnsi"/>
          <w:lang w:val="en-AU" w:eastAsia="hr-HR"/>
        </w:rPr>
        <w:t>The institutional and regulatory framework for hydrogen in the Republic of Croatia is structured to ensure full alignment with the European Union’s decarbonization objectives, internal energy market legislation, and the Green Deal. Croatia recognizes hydrogen as a strategic enabler of energy transition and industrial transformation, and therefore, the establishment of a coherent governance and regulatory system has become a national priority.</w:t>
      </w:r>
    </w:p>
    <w:p w14:paraId="357CD567" w14:textId="77777777" w:rsidR="00133EFC" w:rsidRPr="00133EFC" w:rsidRDefault="00133EFC" w:rsidP="00D328E5">
      <w:pPr>
        <w:spacing w:before="100" w:beforeAutospacing="1" w:after="100" w:afterAutospacing="1"/>
        <w:ind w:left="0" w:right="0"/>
        <w:rPr>
          <w:rFonts w:asciiTheme="minorHAnsi" w:hAnsiTheme="minorHAnsi"/>
          <w:lang w:val="en-AU" w:eastAsia="hr-HR"/>
        </w:rPr>
      </w:pPr>
      <w:r w:rsidRPr="00133EFC">
        <w:rPr>
          <w:rFonts w:asciiTheme="minorHAnsi" w:hAnsiTheme="minorHAnsi"/>
          <w:lang w:val="en-AU" w:eastAsia="hr-HR"/>
        </w:rPr>
        <w:t>The framework aims to facilitate the safe, efficient, and economically viable deployment of hydrogen technologies — from production to distribution and end-use — while ensuring compliance with EU standards on sustainability, competition, and environmental protection.</w:t>
      </w:r>
    </w:p>
    <w:p w14:paraId="10682C92" w14:textId="77777777" w:rsidR="00133EFC" w:rsidRPr="00133EFC" w:rsidRDefault="00133EFC" w:rsidP="00D328E5">
      <w:pPr>
        <w:spacing w:before="100" w:beforeAutospacing="1" w:after="100" w:afterAutospacing="1"/>
        <w:ind w:left="0" w:right="0"/>
        <w:rPr>
          <w:rFonts w:asciiTheme="minorHAnsi" w:hAnsiTheme="minorHAnsi"/>
          <w:lang w:val="en-AU" w:eastAsia="hr-HR"/>
        </w:rPr>
      </w:pPr>
      <w:r w:rsidRPr="00133EFC">
        <w:rPr>
          <w:rFonts w:asciiTheme="minorHAnsi" w:hAnsiTheme="minorHAnsi"/>
          <w:lang w:val="en-AU" w:eastAsia="hr-HR"/>
        </w:rPr>
        <w:t>Croatia’s institutional landscape for hydrogen governance is characterized by coordinated action among central government bodies, agencies, public institutions, and private stakeholders. The roles and responsibilities are defined to ensure an integrated approach across the entire hydrogen value chain.</w:t>
      </w:r>
    </w:p>
    <w:p w14:paraId="0782904B" w14:textId="697559A2" w:rsidR="00133EFC" w:rsidRPr="00133EFC" w:rsidRDefault="00133EFC" w:rsidP="00D328E5">
      <w:pPr>
        <w:spacing w:before="100" w:beforeAutospacing="1" w:after="100" w:afterAutospacing="1"/>
        <w:ind w:left="0" w:right="0"/>
        <w:outlineLvl w:val="3"/>
        <w:rPr>
          <w:rFonts w:asciiTheme="minorHAnsi" w:hAnsiTheme="minorHAnsi"/>
          <w:b/>
          <w:bCs/>
          <w:lang w:val="en-AU" w:eastAsia="hr-HR"/>
        </w:rPr>
      </w:pPr>
      <w:r w:rsidRPr="00133EFC">
        <w:rPr>
          <w:rFonts w:asciiTheme="minorHAnsi" w:hAnsiTheme="minorHAnsi"/>
          <w:b/>
          <w:bCs/>
          <w:lang w:val="en-AU" w:eastAsia="hr-HR"/>
        </w:rPr>
        <w:t>1. Ministry of Economy (MoE)</w:t>
      </w:r>
    </w:p>
    <w:p w14:paraId="2CBA6A4D" w14:textId="3EFF2D61" w:rsidR="002547DE" w:rsidRDefault="00133EFC" w:rsidP="00D328E5">
      <w:pPr>
        <w:spacing w:before="100" w:beforeAutospacing="1" w:after="100" w:afterAutospacing="1"/>
        <w:ind w:left="0" w:right="0"/>
        <w:rPr>
          <w:rFonts w:asciiTheme="minorHAnsi" w:hAnsiTheme="minorHAnsi"/>
          <w:lang w:val="en-AU" w:eastAsia="hr-HR"/>
        </w:rPr>
      </w:pPr>
      <w:r w:rsidRPr="00133EFC">
        <w:rPr>
          <w:rFonts w:asciiTheme="minorHAnsi" w:hAnsiTheme="minorHAnsi"/>
          <w:lang w:val="en-AU" w:eastAsia="hr-HR"/>
        </w:rPr>
        <w:t xml:space="preserve">The </w:t>
      </w:r>
      <w:r w:rsidRPr="00133EFC">
        <w:rPr>
          <w:rFonts w:asciiTheme="minorHAnsi" w:hAnsiTheme="minorHAnsi"/>
          <w:b/>
          <w:bCs/>
          <w:lang w:val="en-AU" w:eastAsia="hr-HR"/>
        </w:rPr>
        <w:t>MoE</w:t>
      </w:r>
      <w:r w:rsidRPr="00133EFC">
        <w:rPr>
          <w:rFonts w:asciiTheme="minorHAnsi" w:hAnsiTheme="minorHAnsi"/>
          <w:lang w:val="en-AU" w:eastAsia="hr-HR"/>
        </w:rPr>
        <w:t xml:space="preserve"> serves as the lead authority for hydrogen policy, strategy, and coordination. It oversees the implementation of the </w:t>
      </w:r>
      <w:r w:rsidRPr="00133EFC">
        <w:rPr>
          <w:rFonts w:asciiTheme="minorHAnsi" w:hAnsiTheme="minorHAnsi"/>
          <w:b/>
          <w:bCs/>
          <w:lang w:val="en-AU" w:eastAsia="hr-HR"/>
        </w:rPr>
        <w:t>Hydrogen Strategy of the Republic of Croatia until 2050</w:t>
      </w:r>
      <w:r w:rsidRPr="00133EFC">
        <w:rPr>
          <w:rFonts w:asciiTheme="minorHAnsi" w:hAnsiTheme="minorHAnsi"/>
          <w:lang w:val="en-AU" w:eastAsia="hr-HR"/>
        </w:rPr>
        <w:t xml:space="preserve">, ensures consistency with the </w:t>
      </w:r>
      <w:r w:rsidRPr="00133EFC">
        <w:rPr>
          <w:rFonts w:asciiTheme="minorHAnsi" w:hAnsiTheme="minorHAnsi"/>
          <w:b/>
          <w:bCs/>
          <w:lang w:val="en-AU" w:eastAsia="hr-HR"/>
        </w:rPr>
        <w:t>National Energy and Climate Plan (NECP)</w:t>
      </w:r>
      <w:r w:rsidRPr="00133EFC">
        <w:rPr>
          <w:rFonts w:asciiTheme="minorHAnsi" w:hAnsiTheme="minorHAnsi"/>
          <w:lang w:val="en-AU" w:eastAsia="hr-HR"/>
        </w:rPr>
        <w:t>, and represents Croatia in EU and international energy forums.</w:t>
      </w:r>
    </w:p>
    <w:p w14:paraId="36E64A04" w14:textId="66E9A70C" w:rsidR="00133EFC" w:rsidRPr="00133EFC" w:rsidRDefault="00133EFC" w:rsidP="00D328E5">
      <w:pPr>
        <w:spacing w:before="100" w:beforeAutospacing="1" w:after="100" w:afterAutospacing="1"/>
        <w:ind w:left="0" w:right="0"/>
        <w:rPr>
          <w:rFonts w:asciiTheme="minorHAnsi" w:hAnsiTheme="minorHAnsi"/>
          <w:lang w:val="en-AU" w:eastAsia="hr-HR"/>
        </w:rPr>
      </w:pPr>
      <w:r w:rsidRPr="00133EFC">
        <w:rPr>
          <w:rFonts w:asciiTheme="minorHAnsi" w:hAnsiTheme="minorHAnsi"/>
          <w:lang w:val="en-AU" w:eastAsia="hr-HR"/>
        </w:rPr>
        <w:t>Its main functions include:</w:t>
      </w:r>
    </w:p>
    <w:p w14:paraId="3BB23AD8" w14:textId="77777777" w:rsidR="00133EFC" w:rsidRPr="00133EFC" w:rsidRDefault="00133EFC" w:rsidP="00D328E5">
      <w:pPr>
        <w:numPr>
          <w:ilvl w:val="0"/>
          <w:numId w:val="59"/>
        </w:numPr>
        <w:spacing w:before="100" w:beforeAutospacing="1" w:after="100" w:afterAutospacing="1"/>
        <w:ind w:right="0"/>
        <w:rPr>
          <w:rFonts w:asciiTheme="minorHAnsi" w:hAnsiTheme="minorHAnsi"/>
          <w:lang w:val="en-AU" w:eastAsia="hr-HR"/>
        </w:rPr>
      </w:pPr>
      <w:r w:rsidRPr="00133EFC">
        <w:rPr>
          <w:rFonts w:asciiTheme="minorHAnsi" w:hAnsiTheme="minorHAnsi"/>
          <w:lang w:val="en-AU" w:eastAsia="hr-HR"/>
        </w:rPr>
        <w:t>Development and supervision of national hydrogen legislation and strategic documents.</w:t>
      </w:r>
    </w:p>
    <w:p w14:paraId="3F883D92" w14:textId="77777777" w:rsidR="00133EFC" w:rsidRPr="00133EFC" w:rsidRDefault="00133EFC" w:rsidP="00D328E5">
      <w:pPr>
        <w:numPr>
          <w:ilvl w:val="0"/>
          <w:numId w:val="59"/>
        </w:numPr>
        <w:spacing w:before="100" w:beforeAutospacing="1" w:after="100" w:afterAutospacing="1"/>
        <w:ind w:right="0"/>
        <w:rPr>
          <w:rFonts w:asciiTheme="minorHAnsi" w:hAnsiTheme="minorHAnsi"/>
          <w:lang w:val="en-AU" w:eastAsia="hr-HR"/>
        </w:rPr>
      </w:pPr>
      <w:r w:rsidRPr="00133EFC">
        <w:rPr>
          <w:rFonts w:asciiTheme="minorHAnsi" w:hAnsiTheme="minorHAnsi"/>
          <w:lang w:val="en-AU" w:eastAsia="hr-HR"/>
        </w:rPr>
        <w:t>Coordination of intersectoral policies on energy, climate, industry, and innovation.</w:t>
      </w:r>
    </w:p>
    <w:p w14:paraId="68AEE05B" w14:textId="77777777" w:rsidR="00133EFC" w:rsidRPr="00133EFC" w:rsidRDefault="00133EFC" w:rsidP="00D328E5">
      <w:pPr>
        <w:numPr>
          <w:ilvl w:val="0"/>
          <w:numId w:val="59"/>
        </w:numPr>
        <w:spacing w:before="100" w:beforeAutospacing="1" w:after="100" w:afterAutospacing="1"/>
        <w:ind w:right="0"/>
        <w:rPr>
          <w:rFonts w:asciiTheme="minorHAnsi" w:hAnsiTheme="minorHAnsi"/>
          <w:lang w:val="en-AU" w:eastAsia="hr-HR"/>
        </w:rPr>
      </w:pPr>
      <w:r w:rsidRPr="00133EFC">
        <w:rPr>
          <w:rFonts w:asciiTheme="minorHAnsi" w:hAnsiTheme="minorHAnsi"/>
          <w:lang w:val="en-AU" w:eastAsia="hr-HR"/>
        </w:rPr>
        <w:t>Facilitation of access to EU funds and state aid for hydrogen projects.</w:t>
      </w:r>
    </w:p>
    <w:p w14:paraId="17E1E67E" w14:textId="77777777" w:rsidR="00133EFC" w:rsidRPr="00133EFC" w:rsidRDefault="00133EFC" w:rsidP="00D328E5">
      <w:pPr>
        <w:numPr>
          <w:ilvl w:val="0"/>
          <w:numId w:val="59"/>
        </w:numPr>
        <w:spacing w:before="100" w:beforeAutospacing="1" w:after="100" w:afterAutospacing="1"/>
        <w:ind w:right="0"/>
        <w:rPr>
          <w:rFonts w:asciiTheme="minorHAnsi" w:hAnsiTheme="minorHAnsi"/>
          <w:lang w:val="en-AU" w:eastAsia="hr-HR"/>
        </w:rPr>
      </w:pPr>
      <w:r w:rsidRPr="00133EFC">
        <w:rPr>
          <w:rFonts w:asciiTheme="minorHAnsi" w:hAnsiTheme="minorHAnsi"/>
          <w:lang w:val="en-AU" w:eastAsia="hr-HR"/>
        </w:rPr>
        <w:t xml:space="preserve">Representation of Croatia in </w:t>
      </w:r>
      <w:r w:rsidRPr="00133EFC">
        <w:rPr>
          <w:rFonts w:asciiTheme="minorHAnsi" w:hAnsiTheme="minorHAnsi"/>
          <w:b/>
          <w:bCs/>
          <w:lang w:val="en-AU" w:eastAsia="hr-HR"/>
        </w:rPr>
        <w:t>EU Hydrogen Alliance</w:t>
      </w:r>
      <w:r w:rsidRPr="00133EFC">
        <w:rPr>
          <w:rFonts w:asciiTheme="minorHAnsi" w:hAnsiTheme="minorHAnsi"/>
          <w:lang w:val="en-AU" w:eastAsia="hr-HR"/>
        </w:rPr>
        <w:t xml:space="preserve">, </w:t>
      </w:r>
      <w:r w:rsidRPr="00133EFC">
        <w:rPr>
          <w:rFonts w:asciiTheme="minorHAnsi" w:hAnsiTheme="minorHAnsi"/>
          <w:b/>
          <w:bCs/>
          <w:lang w:val="en-AU" w:eastAsia="hr-HR"/>
        </w:rPr>
        <w:t>IPCEI Hydrogen projects</w:t>
      </w:r>
      <w:r w:rsidRPr="00133EFC">
        <w:rPr>
          <w:rFonts w:asciiTheme="minorHAnsi" w:hAnsiTheme="minorHAnsi"/>
          <w:lang w:val="en-AU" w:eastAsia="hr-HR"/>
        </w:rPr>
        <w:t>, and regional hydrogen cooperation initiatives.</w:t>
      </w:r>
    </w:p>
    <w:p w14:paraId="505424AC" w14:textId="77777777" w:rsidR="00133EFC" w:rsidRPr="00133EFC" w:rsidRDefault="00133EFC" w:rsidP="00D328E5">
      <w:pPr>
        <w:spacing w:before="100" w:beforeAutospacing="1" w:after="100" w:afterAutospacing="1"/>
        <w:ind w:left="0" w:right="0"/>
        <w:outlineLvl w:val="3"/>
        <w:rPr>
          <w:rFonts w:asciiTheme="minorHAnsi" w:hAnsiTheme="minorHAnsi"/>
          <w:b/>
          <w:bCs/>
          <w:lang w:val="en-AU" w:eastAsia="hr-HR"/>
        </w:rPr>
      </w:pPr>
      <w:r w:rsidRPr="00133EFC">
        <w:rPr>
          <w:rFonts w:asciiTheme="minorHAnsi" w:hAnsiTheme="minorHAnsi"/>
          <w:b/>
          <w:bCs/>
          <w:lang w:val="en-AU" w:eastAsia="hr-HR"/>
        </w:rPr>
        <w:t>2. Energy Institute Hrvoje Požar (EIHP)</w:t>
      </w:r>
    </w:p>
    <w:p w14:paraId="470FBD77" w14:textId="39A9B3A1" w:rsidR="00133EFC" w:rsidRPr="00133EFC" w:rsidRDefault="00133EFC" w:rsidP="00D328E5">
      <w:pPr>
        <w:spacing w:before="100" w:beforeAutospacing="1" w:after="100" w:afterAutospacing="1"/>
        <w:ind w:left="0" w:right="0"/>
        <w:rPr>
          <w:rFonts w:asciiTheme="minorHAnsi" w:hAnsiTheme="minorHAnsi"/>
          <w:lang w:val="en-AU" w:eastAsia="hr-HR"/>
        </w:rPr>
      </w:pPr>
      <w:r w:rsidRPr="00133EFC">
        <w:rPr>
          <w:rFonts w:asciiTheme="minorHAnsi" w:hAnsiTheme="minorHAnsi"/>
          <w:lang w:val="en-AU" w:eastAsia="hr-HR"/>
        </w:rPr>
        <w:t xml:space="preserve">The </w:t>
      </w:r>
      <w:r w:rsidRPr="00133EFC">
        <w:rPr>
          <w:rFonts w:asciiTheme="minorHAnsi" w:hAnsiTheme="minorHAnsi"/>
          <w:b/>
          <w:bCs/>
          <w:lang w:val="en-AU" w:eastAsia="hr-HR"/>
        </w:rPr>
        <w:t>EIHP</w:t>
      </w:r>
      <w:r w:rsidRPr="00133EFC">
        <w:rPr>
          <w:rFonts w:asciiTheme="minorHAnsi" w:hAnsiTheme="minorHAnsi"/>
          <w:lang w:val="en-AU" w:eastAsia="hr-HR"/>
        </w:rPr>
        <w:t xml:space="preserve"> provides analytical and technical expertise for policy design, energy system mode</w:t>
      </w:r>
      <w:r w:rsidR="00912BEF">
        <w:rPr>
          <w:rFonts w:asciiTheme="minorHAnsi" w:hAnsiTheme="minorHAnsi"/>
          <w:lang w:val="en-AU" w:eastAsia="hr-HR"/>
        </w:rPr>
        <w:t>l</w:t>
      </w:r>
      <w:r w:rsidRPr="00133EFC">
        <w:rPr>
          <w:rFonts w:asciiTheme="minorHAnsi" w:hAnsiTheme="minorHAnsi"/>
          <w:lang w:val="en-AU" w:eastAsia="hr-HR"/>
        </w:rPr>
        <w:t>ling, and feasibility studies. It supports the government in defining regulatory measures, evaluating hydrogen integration into the national grid, and conducting cost-benefit analyses of hydrogen projects.</w:t>
      </w:r>
    </w:p>
    <w:p w14:paraId="41E4560C" w14:textId="77777777" w:rsidR="00133EFC" w:rsidRPr="00133EFC" w:rsidRDefault="00133EFC" w:rsidP="00D328E5">
      <w:pPr>
        <w:spacing w:before="100" w:beforeAutospacing="1" w:after="100" w:afterAutospacing="1"/>
        <w:ind w:left="0" w:right="0"/>
        <w:outlineLvl w:val="3"/>
        <w:rPr>
          <w:rFonts w:asciiTheme="minorHAnsi" w:hAnsiTheme="minorHAnsi"/>
          <w:b/>
          <w:bCs/>
          <w:lang w:val="en-AU" w:eastAsia="hr-HR"/>
        </w:rPr>
      </w:pPr>
      <w:r w:rsidRPr="00133EFC">
        <w:rPr>
          <w:rFonts w:asciiTheme="minorHAnsi" w:hAnsiTheme="minorHAnsi"/>
          <w:b/>
          <w:bCs/>
          <w:lang w:val="en-AU" w:eastAsia="hr-HR"/>
        </w:rPr>
        <w:t>3. Croatian Energy Regulatory Agency (HERA)</w:t>
      </w:r>
    </w:p>
    <w:p w14:paraId="6FC5DFB3" w14:textId="77777777" w:rsidR="00133EFC" w:rsidRPr="00133EFC" w:rsidRDefault="00133EFC" w:rsidP="00D328E5">
      <w:pPr>
        <w:spacing w:before="100" w:beforeAutospacing="1" w:after="100" w:afterAutospacing="1"/>
        <w:ind w:left="0" w:right="0"/>
        <w:rPr>
          <w:rFonts w:asciiTheme="minorHAnsi" w:hAnsiTheme="minorHAnsi"/>
          <w:lang w:val="en-AU" w:eastAsia="hr-HR"/>
        </w:rPr>
      </w:pPr>
      <w:r w:rsidRPr="00133EFC">
        <w:rPr>
          <w:rFonts w:asciiTheme="minorHAnsi" w:hAnsiTheme="minorHAnsi"/>
          <w:b/>
          <w:bCs/>
          <w:lang w:val="en-AU" w:eastAsia="hr-HR"/>
        </w:rPr>
        <w:t>HERA</w:t>
      </w:r>
      <w:r w:rsidRPr="00133EFC">
        <w:rPr>
          <w:rFonts w:asciiTheme="minorHAnsi" w:hAnsiTheme="minorHAnsi"/>
          <w:lang w:val="en-AU" w:eastAsia="hr-HR"/>
        </w:rPr>
        <w:t xml:space="preserve"> is responsible for regulatory oversight of the energy sector, including hydrogen-related activities as they integrate with electricity and gas markets. Its key tasks involve:</w:t>
      </w:r>
    </w:p>
    <w:p w14:paraId="1523D1F6" w14:textId="77777777" w:rsidR="00133EFC" w:rsidRPr="00133EFC" w:rsidRDefault="00133EFC" w:rsidP="00D328E5">
      <w:pPr>
        <w:numPr>
          <w:ilvl w:val="0"/>
          <w:numId w:val="60"/>
        </w:numPr>
        <w:spacing w:before="100" w:beforeAutospacing="1" w:after="100" w:afterAutospacing="1"/>
        <w:ind w:right="0"/>
        <w:rPr>
          <w:rFonts w:asciiTheme="minorHAnsi" w:hAnsiTheme="minorHAnsi"/>
          <w:lang w:val="en-AU" w:eastAsia="hr-HR"/>
        </w:rPr>
      </w:pPr>
      <w:r w:rsidRPr="00133EFC">
        <w:rPr>
          <w:rFonts w:asciiTheme="minorHAnsi" w:hAnsiTheme="minorHAnsi"/>
          <w:lang w:val="en-AU" w:eastAsia="hr-HR"/>
        </w:rPr>
        <w:t>Defining tariff methodologies and market rules for hydrogen transmission and distribution.</w:t>
      </w:r>
    </w:p>
    <w:p w14:paraId="1A3A8EA1" w14:textId="77777777" w:rsidR="00133EFC" w:rsidRPr="00133EFC" w:rsidRDefault="00133EFC" w:rsidP="00D328E5">
      <w:pPr>
        <w:numPr>
          <w:ilvl w:val="0"/>
          <w:numId w:val="60"/>
        </w:numPr>
        <w:spacing w:before="100" w:beforeAutospacing="1" w:after="100" w:afterAutospacing="1"/>
        <w:ind w:right="0"/>
        <w:rPr>
          <w:rFonts w:asciiTheme="minorHAnsi" w:hAnsiTheme="minorHAnsi"/>
          <w:lang w:val="en-AU" w:eastAsia="hr-HR"/>
        </w:rPr>
      </w:pPr>
      <w:r w:rsidRPr="00133EFC">
        <w:rPr>
          <w:rFonts w:asciiTheme="minorHAnsi" w:hAnsiTheme="minorHAnsi"/>
          <w:lang w:val="en-AU" w:eastAsia="hr-HR"/>
        </w:rPr>
        <w:t>Setting technical and safety standards for hydrogen infrastructure.</w:t>
      </w:r>
    </w:p>
    <w:p w14:paraId="537E7C2C" w14:textId="77777777" w:rsidR="00133EFC" w:rsidRPr="00133EFC" w:rsidRDefault="00133EFC" w:rsidP="00D328E5">
      <w:pPr>
        <w:numPr>
          <w:ilvl w:val="0"/>
          <w:numId w:val="60"/>
        </w:numPr>
        <w:spacing w:before="100" w:beforeAutospacing="1" w:after="100" w:afterAutospacing="1"/>
        <w:ind w:right="0"/>
        <w:rPr>
          <w:rFonts w:asciiTheme="minorHAnsi" w:hAnsiTheme="minorHAnsi"/>
          <w:lang w:val="en-AU" w:eastAsia="hr-HR"/>
        </w:rPr>
      </w:pPr>
      <w:r w:rsidRPr="00133EFC">
        <w:rPr>
          <w:rFonts w:asciiTheme="minorHAnsi" w:hAnsiTheme="minorHAnsi"/>
          <w:lang w:val="en-AU" w:eastAsia="hr-HR"/>
        </w:rPr>
        <w:t>Overseeing certification and licensing of hydrogen market participants.</w:t>
      </w:r>
    </w:p>
    <w:p w14:paraId="366E7AFA" w14:textId="77777777" w:rsidR="00133EFC" w:rsidRPr="00133EFC" w:rsidRDefault="00133EFC" w:rsidP="00D328E5">
      <w:pPr>
        <w:spacing w:before="100" w:beforeAutospacing="1" w:after="100" w:afterAutospacing="1"/>
        <w:ind w:left="0" w:right="0"/>
        <w:outlineLvl w:val="3"/>
        <w:rPr>
          <w:rFonts w:asciiTheme="minorHAnsi" w:hAnsiTheme="minorHAnsi"/>
          <w:b/>
          <w:bCs/>
          <w:lang w:val="en-AU" w:eastAsia="hr-HR"/>
        </w:rPr>
      </w:pPr>
      <w:r w:rsidRPr="00133EFC">
        <w:rPr>
          <w:rFonts w:asciiTheme="minorHAnsi" w:hAnsiTheme="minorHAnsi"/>
          <w:b/>
          <w:bCs/>
          <w:lang w:val="en-AU" w:eastAsia="hr-HR"/>
        </w:rPr>
        <w:t>4. Croatian Energy Market Operator (HROTE)</w:t>
      </w:r>
    </w:p>
    <w:p w14:paraId="47709E3D" w14:textId="77777777" w:rsidR="00133EFC" w:rsidRPr="00133EFC" w:rsidRDefault="00133EFC" w:rsidP="00D328E5">
      <w:pPr>
        <w:spacing w:before="100" w:beforeAutospacing="1" w:after="100" w:afterAutospacing="1"/>
        <w:ind w:left="0" w:right="0"/>
        <w:rPr>
          <w:rFonts w:asciiTheme="minorHAnsi" w:hAnsiTheme="minorHAnsi"/>
          <w:lang w:val="en-AU" w:eastAsia="hr-HR"/>
        </w:rPr>
      </w:pPr>
      <w:r w:rsidRPr="00133EFC">
        <w:rPr>
          <w:rFonts w:asciiTheme="minorHAnsi" w:hAnsiTheme="minorHAnsi"/>
          <w:b/>
          <w:bCs/>
          <w:lang w:val="en-AU" w:eastAsia="hr-HR"/>
        </w:rPr>
        <w:lastRenderedPageBreak/>
        <w:t>HROTE</w:t>
      </w:r>
      <w:r w:rsidRPr="00133EFC">
        <w:rPr>
          <w:rFonts w:asciiTheme="minorHAnsi" w:hAnsiTheme="minorHAnsi"/>
          <w:lang w:val="en-AU" w:eastAsia="hr-HR"/>
        </w:rPr>
        <w:t xml:space="preserve"> manages incentive mechanisms for renewable energy and will play a critical role in supporting the certification and trading of renewable hydrogen. Its expected responsibilities include:</w:t>
      </w:r>
    </w:p>
    <w:p w14:paraId="467366B2" w14:textId="77777777" w:rsidR="00133EFC" w:rsidRPr="00133EFC" w:rsidRDefault="00133EFC" w:rsidP="00D328E5">
      <w:pPr>
        <w:numPr>
          <w:ilvl w:val="0"/>
          <w:numId w:val="61"/>
        </w:numPr>
        <w:spacing w:before="100" w:beforeAutospacing="1" w:after="100" w:afterAutospacing="1"/>
        <w:ind w:right="0"/>
        <w:rPr>
          <w:rFonts w:asciiTheme="minorHAnsi" w:hAnsiTheme="minorHAnsi"/>
          <w:lang w:val="en-AU" w:eastAsia="hr-HR"/>
        </w:rPr>
      </w:pPr>
      <w:r w:rsidRPr="00133EFC">
        <w:rPr>
          <w:rFonts w:asciiTheme="minorHAnsi" w:hAnsiTheme="minorHAnsi"/>
          <w:lang w:val="en-AU" w:eastAsia="hr-HR"/>
        </w:rPr>
        <w:t>Administration of guarantees of origin (GoO) for renewable hydrogen.</w:t>
      </w:r>
    </w:p>
    <w:p w14:paraId="5437A104" w14:textId="77777777" w:rsidR="00133EFC" w:rsidRPr="00133EFC" w:rsidRDefault="00133EFC" w:rsidP="00D328E5">
      <w:pPr>
        <w:numPr>
          <w:ilvl w:val="0"/>
          <w:numId w:val="61"/>
        </w:numPr>
        <w:spacing w:before="100" w:beforeAutospacing="1" w:after="100" w:afterAutospacing="1"/>
        <w:ind w:right="0"/>
        <w:rPr>
          <w:rFonts w:asciiTheme="minorHAnsi" w:hAnsiTheme="minorHAnsi"/>
          <w:lang w:val="en-AU" w:eastAsia="hr-HR"/>
        </w:rPr>
      </w:pPr>
      <w:r w:rsidRPr="00133EFC">
        <w:rPr>
          <w:rFonts w:asciiTheme="minorHAnsi" w:hAnsiTheme="minorHAnsi"/>
          <w:lang w:val="en-AU" w:eastAsia="hr-HR"/>
        </w:rPr>
        <w:t>Integration of hydrogen into renewable support schemes and balancing markets.</w:t>
      </w:r>
    </w:p>
    <w:p w14:paraId="7528F4EF" w14:textId="77777777" w:rsidR="00133EFC" w:rsidRPr="00133EFC" w:rsidRDefault="00133EFC" w:rsidP="00D328E5">
      <w:pPr>
        <w:numPr>
          <w:ilvl w:val="0"/>
          <w:numId w:val="61"/>
        </w:numPr>
        <w:spacing w:before="100" w:beforeAutospacing="1" w:after="100" w:afterAutospacing="1"/>
        <w:ind w:right="0"/>
        <w:rPr>
          <w:rFonts w:asciiTheme="minorHAnsi" w:hAnsiTheme="minorHAnsi"/>
          <w:lang w:val="en-AU" w:eastAsia="hr-HR"/>
        </w:rPr>
      </w:pPr>
      <w:r w:rsidRPr="00133EFC">
        <w:rPr>
          <w:rFonts w:asciiTheme="minorHAnsi" w:hAnsiTheme="minorHAnsi"/>
          <w:lang w:val="en-AU" w:eastAsia="hr-HR"/>
        </w:rPr>
        <w:t>Facilitation of pilot auctions and market instruments for hydrogen producers.</w:t>
      </w:r>
    </w:p>
    <w:p w14:paraId="3F4976E6" w14:textId="77777777" w:rsidR="00133EFC" w:rsidRPr="00133EFC" w:rsidRDefault="00133EFC" w:rsidP="00D328E5">
      <w:pPr>
        <w:spacing w:before="100" w:beforeAutospacing="1" w:after="100" w:afterAutospacing="1"/>
        <w:ind w:left="0" w:right="0"/>
        <w:outlineLvl w:val="3"/>
        <w:rPr>
          <w:rFonts w:asciiTheme="minorHAnsi" w:hAnsiTheme="minorHAnsi"/>
          <w:b/>
          <w:bCs/>
          <w:lang w:val="en-AU" w:eastAsia="hr-HR"/>
        </w:rPr>
      </w:pPr>
      <w:r w:rsidRPr="00133EFC">
        <w:rPr>
          <w:rFonts w:asciiTheme="minorHAnsi" w:hAnsiTheme="minorHAnsi"/>
          <w:b/>
          <w:bCs/>
          <w:lang w:val="en-AU" w:eastAsia="hr-HR"/>
        </w:rPr>
        <w:t>5. Environmental Protection and Energy Efficiency Fund (EPEEF)</w:t>
      </w:r>
    </w:p>
    <w:p w14:paraId="00633BFC" w14:textId="43B25201" w:rsidR="00133EFC" w:rsidRDefault="00133EFC" w:rsidP="00D328E5">
      <w:pPr>
        <w:spacing w:before="100" w:beforeAutospacing="1" w:after="100" w:afterAutospacing="1"/>
        <w:ind w:left="0" w:right="0"/>
        <w:rPr>
          <w:rFonts w:asciiTheme="minorHAnsi" w:hAnsiTheme="minorHAnsi"/>
          <w:lang w:val="en-AU" w:eastAsia="hr-HR"/>
        </w:rPr>
      </w:pPr>
      <w:r w:rsidRPr="00133EFC">
        <w:rPr>
          <w:rFonts w:asciiTheme="minorHAnsi" w:hAnsiTheme="minorHAnsi"/>
          <w:lang w:val="en-AU" w:eastAsia="hr-HR"/>
        </w:rPr>
        <w:t xml:space="preserve">The </w:t>
      </w:r>
      <w:r w:rsidRPr="00133EFC">
        <w:rPr>
          <w:rFonts w:asciiTheme="minorHAnsi" w:hAnsiTheme="minorHAnsi"/>
          <w:b/>
          <w:bCs/>
          <w:lang w:val="en-AU" w:eastAsia="hr-HR"/>
        </w:rPr>
        <w:t>EPEEF</w:t>
      </w:r>
      <w:r w:rsidRPr="00133EFC">
        <w:rPr>
          <w:rFonts w:asciiTheme="minorHAnsi" w:hAnsiTheme="minorHAnsi"/>
          <w:lang w:val="en-AU" w:eastAsia="hr-HR"/>
        </w:rPr>
        <w:t xml:space="preserve"> supports investment projects promoting sustainable energy, including hydrogen production, storage, and transport technologies. Through national and EU funds (such as the Modernisation Fund and Cohesion Fund), it provides co-financing for demonstration projects and hydrogen valleys.</w:t>
      </w:r>
    </w:p>
    <w:p w14:paraId="2B00D2BF" w14:textId="315D8A5C" w:rsidR="00912BEF" w:rsidRDefault="00912BEF" w:rsidP="00D328E5">
      <w:pPr>
        <w:spacing w:before="100" w:beforeAutospacing="1" w:after="100" w:afterAutospacing="1"/>
        <w:ind w:left="0" w:right="0"/>
        <w:rPr>
          <w:rFonts w:asciiTheme="minorHAnsi" w:hAnsiTheme="minorHAnsi"/>
          <w:lang w:val="en-AU" w:eastAsia="hr-HR"/>
        </w:rPr>
      </w:pPr>
      <w:r>
        <w:rPr>
          <w:rFonts w:asciiTheme="minorHAnsi" w:hAnsiTheme="minorHAnsi"/>
          <w:lang w:val="en-AU" w:eastAsia="hr-HR"/>
        </w:rPr>
        <w:t>6. Croatian Hydrocarbon Agency (CHA)</w:t>
      </w:r>
    </w:p>
    <w:p w14:paraId="2FE99B58" w14:textId="6F03A292" w:rsidR="000E2361" w:rsidRPr="00133EFC" w:rsidRDefault="00912BEF" w:rsidP="00B63AA4">
      <w:pPr>
        <w:spacing w:before="100" w:beforeAutospacing="1" w:after="100" w:afterAutospacing="1"/>
        <w:ind w:left="0" w:right="0"/>
        <w:rPr>
          <w:rFonts w:asciiTheme="minorHAnsi" w:hAnsiTheme="minorHAnsi"/>
          <w:lang w:val="en-AU" w:eastAsia="hr-HR"/>
        </w:rPr>
      </w:pPr>
      <w:r w:rsidRPr="00912BEF">
        <w:rPr>
          <w:rFonts w:asciiTheme="minorHAnsi" w:hAnsiTheme="minorHAnsi"/>
          <w:lang w:val="en-AU" w:eastAsia="hr-HR"/>
        </w:rPr>
        <w:t>The CHA serves as the national coordinati</w:t>
      </w:r>
      <w:r w:rsidR="000E2361">
        <w:rPr>
          <w:rFonts w:asciiTheme="minorHAnsi" w:hAnsiTheme="minorHAnsi"/>
          <w:lang w:val="en-AU" w:eastAsia="hr-HR"/>
        </w:rPr>
        <w:t>ng</w:t>
      </w:r>
      <w:r w:rsidRPr="00912BEF">
        <w:rPr>
          <w:rFonts w:asciiTheme="minorHAnsi" w:hAnsiTheme="minorHAnsi"/>
          <w:lang w:val="en-AU" w:eastAsia="hr-HR"/>
        </w:rPr>
        <w:t xml:space="preserve"> </w:t>
      </w:r>
      <w:r w:rsidR="000E2361">
        <w:rPr>
          <w:rFonts w:asciiTheme="minorHAnsi" w:hAnsiTheme="minorHAnsi"/>
          <w:lang w:val="en-AU" w:eastAsia="hr-HR"/>
        </w:rPr>
        <w:t>authority</w:t>
      </w:r>
      <w:r w:rsidRPr="00912BEF">
        <w:rPr>
          <w:rFonts w:asciiTheme="minorHAnsi" w:hAnsiTheme="minorHAnsi"/>
          <w:lang w:val="en-AU" w:eastAsia="hr-HR"/>
        </w:rPr>
        <w:t xml:space="preserve"> for hydrogen in Croatia. </w:t>
      </w:r>
      <w:r w:rsidR="004E0C5F">
        <w:rPr>
          <w:rFonts w:asciiTheme="minorHAnsi" w:hAnsiTheme="minorHAnsi"/>
          <w:lang w:val="en-AU" w:eastAsia="hr-HR"/>
        </w:rPr>
        <w:t>it</w:t>
      </w:r>
      <w:r w:rsidRPr="00912BEF">
        <w:rPr>
          <w:rFonts w:asciiTheme="minorHAnsi" w:hAnsiTheme="minorHAnsi"/>
          <w:lang w:val="en-AU" w:eastAsia="hr-HR"/>
        </w:rPr>
        <w:t xml:space="preserve"> was assigned this role in 2023 by the Ministry of Economy to provide</w:t>
      </w:r>
      <w:r w:rsidR="000E2361" w:rsidRPr="000E2361">
        <w:rPr>
          <w:rFonts w:asciiTheme="minorHAnsi" w:hAnsiTheme="minorHAnsi"/>
          <w:lang w:val="en-AU" w:eastAsia="hr-HR"/>
        </w:rPr>
        <w:t xml:space="preserve">technical </w:t>
      </w:r>
      <w:r w:rsidR="000E2361">
        <w:rPr>
          <w:rFonts w:asciiTheme="minorHAnsi" w:hAnsiTheme="minorHAnsi"/>
          <w:lang w:val="en-AU" w:eastAsia="hr-HR"/>
        </w:rPr>
        <w:t>support</w:t>
      </w:r>
      <w:r w:rsidR="000E2361" w:rsidRPr="000E2361">
        <w:rPr>
          <w:rFonts w:asciiTheme="minorHAnsi" w:hAnsiTheme="minorHAnsi"/>
          <w:lang w:val="en-AU" w:eastAsia="hr-HR"/>
        </w:rPr>
        <w:t xml:space="preserve"> for programming, strategic planning, implementation, and reporting concerning hydrogen deployment throughout the </w:t>
      </w:r>
      <w:r w:rsidR="000E2361">
        <w:rPr>
          <w:rFonts w:asciiTheme="minorHAnsi" w:hAnsiTheme="minorHAnsi"/>
          <w:lang w:val="en-AU" w:eastAsia="hr-HR"/>
        </w:rPr>
        <w:t>country</w:t>
      </w:r>
      <w:r w:rsidR="000E2361" w:rsidRPr="000E2361">
        <w:rPr>
          <w:rFonts w:asciiTheme="minorHAnsi" w:hAnsiTheme="minorHAnsi"/>
          <w:lang w:val="en-AU" w:eastAsia="hr-HR"/>
        </w:rPr>
        <w:t>.</w:t>
      </w:r>
    </w:p>
    <w:p w14:paraId="7A00F1A2" w14:textId="2AFD2327" w:rsidR="00133EFC" w:rsidRPr="00133EFC" w:rsidRDefault="000E2361" w:rsidP="00B63AA4">
      <w:pPr>
        <w:spacing w:before="100" w:beforeAutospacing="1" w:after="100" w:afterAutospacing="1"/>
        <w:ind w:left="0" w:right="0"/>
        <w:outlineLvl w:val="3"/>
        <w:rPr>
          <w:rFonts w:asciiTheme="minorHAnsi" w:hAnsiTheme="minorHAnsi"/>
          <w:b/>
          <w:bCs/>
          <w:lang w:val="en-AU" w:eastAsia="hr-HR"/>
        </w:rPr>
      </w:pPr>
      <w:r>
        <w:rPr>
          <w:rFonts w:asciiTheme="minorHAnsi" w:hAnsiTheme="minorHAnsi"/>
          <w:b/>
          <w:bCs/>
          <w:lang w:val="en-AU" w:eastAsia="hr-HR"/>
        </w:rPr>
        <w:t>7</w:t>
      </w:r>
      <w:r w:rsidR="00133EFC" w:rsidRPr="00133EFC">
        <w:rPr>
          <w:rFonts w:asciiTheme="minorHAnsi" w:hAnsiTheme="minorHAnsi"/>
          <w:b/>
          <w:bCs/>
          <w:lang w:val="en-AU" w:eastAsia="hr-HR"/>
        </w:rPr>
        <w:t>. Research and Innovation Institutions</w:t>
      </w:r>
    </w:p>
    <w:p w14:paraId="1142D1D0" w14:textId="20AF583B" w:rsidR="00133EFC" w:rsidRPr="00133EFC" w:rsidRDefault="00133EFC" w:rsidP="00B63AA4">
      <w:pPr>
        <w:spacing w:before="100" w:beforeAutospacing="1" w:after="100" w:afterAutospacing="1"/>
        <w:ind w:left="0" w:right="0"/>
        <w:rPr>
          <w:rFonts w:asciiTheme="minorHAnsi" w:hAnsiTheme="minorHAnsi"/>
          <w:lang w:val="en-AU" w:eastAsia="hr-HR"/>
        </w:rPr>
      </w:pPr>
      <w:r w:rsidRPr="00133EFC">
        <w:rPr>
          <w:rFonts w:asciiTheme="minorHAnsi" w:hAnsiTheme="minorHAnsi"/>
          <w:lang w:val="en-AU" w:eastAsia="hr-HR"/>
        </w:rPr>
        <w:t xml:space="preserve">Croatian universities and research centers — notably the </w:t>
      </w:r>
      <w:r w:rsidRPr="00133EFC">
        <w:rPr>
          <w:rFonts w:asciiTheme="minorHAnsi" w:hAnsiTheme="minorHAnsi"/>
          <w:b/>
          <w:bCs/>
          <w:lang w:val="en-AU" w:eastAsia="hr-HR"/>
        </w:rPr>
        <w:t>University of Zagreb Faculty of Mechanical Engineering and Naval Architecture (FSB)</w:t>
      </w:r>
      <w:r w:rsidRPr="00133EFC">
        <w:rPr>
          <w:rFonts w:asciiTheme="minorHAnsi" w:hAnsiTheme="minorHAnsi"/>
          <w:lang w:val="en-AU" w:eastAsia="hr-HR"/>
        </w:rPr>
        <w:t xml:space="preserve"> and the </w:t>
      </w:r>
      <w:r w:rsidRPr="00133EFC">
        <w:rPr>
          <w:rFonts w:asciiTheme="minorHAnsi" w:hAnsiTheme="minorHAnsi"/>
          <w:b/>
          <w:bCs/>
          <w:lang w:val="en-AU" w:eastAsia="hr-HR"/>
        </w:rPr>
        <w:t>Rudjer Bošković Institute</w:t>
      </w:r>
      <w:r w:rsidRPr="00133EFC">
        <w:rPr>
          <w:rFonts w:asciiTheme="minorHAnsi" w:hAnsiTheme="minorHAnsi"/>
          <w:lang w:val="en-AU" w:eastAsia="hr-HR"/>
        </w:rPr>
        <w:t xml:space="preserve"> — conduct applied research in hydrogen technologies, materials science, </w:t>
      </w:r>
      <w:r w:rsidR="00912BEF">
        <w:rPr>
          <w:rFonts w:asciiTheme="minorHAnsi" w:hAnsiTheme="minorHAnsi"/>
          <w:lang w:val="en-AU" w:eastAsia="hr-HR"/>
        </w:rPr>
        <w:t xml:space="preserve">electrolyzer, hydrogen storage, and </w:t>
      </w:r>
      <w:r w:rsidRPr="00133EFC">
        <w:rPr>
          <w:rFonts w:asciiTheme="minorHAnsi" w:hAnsiTheme="minorHAnsi"/>
          <w:lang w:val="en-AU" w:eastAsia="hr-HR"/>
        </w:rPr>
        <w:t xml:space="preserve">fuel cell development. These institutions collaborate with industry to foster innovation and technology transfer under the </w:t>
      </w:r>
      <w:r w:rsidRPr="00133EFC">
        <w:rPr>
          <w:rFonts w:asciiTheme="minorHAnsi" w:hAnsiTheme="minorHAnsi"/>
          <w:b/>
          <w:bCs/>
          <w:lang w:val="en-AU" w:eastAsia="hr-HR"/>
        </w:rPr>
        <w:t>National Recovery and Resilience Plan (NRRP)</w:t>
      </w:r>
      <w:r w:rsidRPr="00133EFC">
        <w:rPr>
          <w:rFonts w:asciiTheme="minorHAnsi" w:hAnsiTheme="minorHAnsi"/>
          <w:lang w:val="en-AU" w:eastAsia="hr-HR"/>
        </w:rPr>
        <w:t>.</w:t>
      </w:r>
    </w:p>
    <w:p w14:paraId="4B77C119" w14:textId="622BD7B3" w:rsidR="00133EFC" w:rsidRPr="00133EFC" w:rsidRDefault="000E2361" w:rsidP="00B63AA4">
      <w:pPr>
        <w:spacing w:before="100" w:beforeAutospacing="1" w:after="100" w:afterAutospacing="1"/>
        <w:ind w:left="0" w:right="0"/>
        <w:outlineLvl w:val="3"/>
        <w:rPr>
          <w:rFonts w:asciiTheme="minorHAnsi" w:hAnsiTheme="minorHAnsi"/>
          <w:b/>
          <w:bCs/>
          <w:lang w:val="en-AU" w:eastAsia="hr-HR"/>
        </w:rPr>
      </w:pPr>
      <w:r>
        <w:rPr>
          <w:rFonts w:asciiTheme="minorHAnsi" w:hAnsiTheme="minorHAnsi"/>
          <w:b/>
          <w:bCs/>
          <w:lang w:val="en-AU" w:eastAsia="hr-HR"/>
        </w:rPr>
        <w:t>8</w:t>
      </w:r>
      <w:r w:rsidR="00133EFC" w:rsidRPr="00133EFC">
        <w:rPr>
          <w:rFonts w:asciiTheme="minorHAnsi" w:hAnsiTheme="minorHAnsi"/>
          <w:b/>
          <w:bCs/>
          <w:lang w:val="en-AU" w:eastAsia="hr-HR"/>
        </w:rPr>
        <w:t>. Industry and Private Sector Stakeholders</w:t>
      </w:r>
    </w:p>
    <w:p w14:paraId="4C37C030" w14:textId="411A43D5" w:rsidR="00133EFC" w:rsidRPr="00133EFC" w:rsidRDefault="00133EFC" w:rsidP="00B63AA4">
      <w:pPr>
        <w:spacing w:before="100" w:beforeAutospacing="1" w:after="100" w:afterAutospacing="1"/>
        <w:ind w:left="0" w:right="0"/>
        <w:rPr>
          <w:rFonts w:asciiTheme="minorHAnsi" w:hAnsiTheme="minorHAnsi"/>
          <w:lang w:val="en-AU" w:eastAsia="hr-HR"/>
        </w:rPr>
      </w:pPr>
      <w:r w:rsidRPr="00133EFC">
        <w:rPr>
          <w:rFonts w:asciiTheme="minorHAnsi" w:hAnsiTheme="minorHAnsi"/>
          <w:lang w:val="en-AU" w:eastAsia="hr-HR"/>
        </w:rPr>
        <w:t xml:space="preserve">The private sector is emerging as a key driver of hydrogen deployment, with participation from energy companies (e.g., </w:t>
      </w:r>
      <w:r w:rsidRPr="00133EFC">
        <w:rPr>
          <w:rFonts w:asciiTheme="minorHAnsi" w:hAnsiTheme="minorHAnsi"/>
          <w:b/>
          <w:bCs/>
          <w:lang w:val="en-AU" w:eastAsia="hr-HR"/>
        </w:rPr>
        <w:t>INA</w:t>
      </w:r>
      <w:r w:rsidRPr="00133EFC">
        <w:rPr>
          <w:rFonts w:asciiTheme="minorHAnsi" w:hAnsiTheme="minorHAnsi"/>
          <w:lang w:val="en-AU" w:eastAsia="hr-HR"/>
        </w:rPr>
        <w:t xml:space="preserve">, </w:t>
      </w:r>
      <w:r w:rsidRPr="00133EFC">
        <w:rPr>
          <w:rFonts w:asciiTheme="minorHAnsi" w:hAnsiTheme="minorHAnsi"/>
          <w:b/>
          <w:bCs/>
          <w:lang w:val="en-AU" w:eastAsia="hr-HR"/>
        </w:rPr>
        <w:t>HEP</w:t>
      </w:r>
      <w:r w:rsidRPr="00133EFC">
        <w:rPr>
          <w:rFonts w:asciiTheme="minorHAnsi" w:hAnsiTheme="minorHAnsi"/>
          <w:lang w:val="en-AU" w:eastAsia="hr-HR"/>
        </w:rPr>
        <w:t xml:space="preserve">, </w:t>
      </w:r>
      <w:r w:rsidRPr="00133EFC">
        <w:rPr>
          <w:rFonts w:asciiTheme="minorHAnsi" w:hAnsiTheme="minorHAnsi"/>
          <w:b/>
          <w:bCs/>
          <w:lang w:val="en-AU" w:eastAsia="hr-HR"/>
        </w:rPr>
        <w:t>Plinacro</w:t>
      </w:r>
      <w:r w:rsidRPr="00133EFC">
        <w:rPr>
          <w:rFonts w:asciiTheme="minorHAnsi" w:hAnsiTheme="minorHAnsi"/>
          <w:lang w:val="en-AU" w:eastAsia="hr-HR"/>
        </w:rPr>
        <w:t xml:space="preserve">) and technology firms investing in renewable hydrogen projects. Plinacro, in particular, is leading feasibility studies for </w:t>
      </w:r>
      <w:r w:rsidRPr="00133EFC">
        <w:rPr>
          <w:rFonts w:asciiTheme="minorHAnsi" w:hAnsiTheme="minorHAnsi"/>
          <w:b/>
          <w:bCs/>
          <w:lang w:val="en-AU" w:eastAsia="hr-HR"/>
        </w:rPr>
        <w:t>hydrogen transport</w:t>
      </w:r>
      <w:r w:rsidR="000E2361">
        <w:rPr>
          <w:rFonts w:asciiTheme="minorHAnsi" w:hAnsiTheme="minorHAnsi"/>
          <w:b/>
          <w:bCs/>
          <w:lang w:val="en-AU" w:eastAsia="hr-HR"/>
        </w:rPr>
        <w:t>ation</w:t>
      </w:r>
      <w:r w:rsidRPr="00133EFC">
        <w:rPr>
          <w:rFonts w:asciiTheme="minorHAnsi" w:hAnsiTheme="minorHAnsi"/>
          <w:b/>
          <w:bCs/>
          <w:lang w:val="en-AU" w:eastAsia="hr-HR"/>
        </w:rPr>
        <w:t xml:space="preserve"> and storage infrastructure</w:t>
      </w:r>
      <w:r w:rsidRPr="00133EFC">
        <w:rPr>
          <w:rFonts w:asciiTheme="minorHAnsi" w:hAnsiTheme="minorHAnsi"/>
          <w:lang w:val="en-AU" w:eastAsia="hr-HR"/>
        </w:rPr>
        <w:t xml:space="preserve"> as part of the future </w:t>
      </w:r>
      <w:r w:rsidRPr="00133EFC">
        <w:rPr>
          <w:rFonts w:asciiTheme="minorHAnsi" w:hAnsiTheme="minorHAnsi"/>
          <w:b/>
          <w:bCs/>
          <w:lang w:val="en-AU" w:eastAsia="hr-HR"/>
        </w:rPr>
        <w:t>European Hydrogen Backbone</w:t>
      </w:r>
      <w:r w:rsidRPr="00133EFC">
        <w:rPr>
          <w:rFonts w:asciiTheme="minorHAnsi" w:hAnsiTheme="minorHAnsi"/>
          <w:lang w:val="en-AU" w:eastAsia="hr-HR"/>
        </w:rPr>
        <w:t>.</w:t>
      </w:r>
    </w:p>
    <w:p w14:paraId="1EBF14FE" w14:textId="77777777" w:rsidR="00133EFC" w:rsidRPr="00133EFC" w:rsidRDefault="00133EFC" w:rsidP="00B63AA4">
      <w:pPr>
        <w:spacing w:before="100" w:beforeAutospacing="1" w:after="100" w:afterAutospacing="1"/>
        <w:ind w:left="0" w:right="0"/>
        <w:jc w:val="left"/>
        <w:rPr>
          <w:rFonts w:asciiTheme="minorHAnsi" w:hAnsiTheme="minorHAnsi"/>
          <w:lang w:val="en-AU" w:eastAsia="hr-HR"/>
        </w:rPr>
      </w:pPr>
      <w:r w:rsidRPr="00133EFC">
        <w:rPr>
          <w:rFonts w:asciiTheme="minorHAnsi" w:hAnsiTheme="minorHAnsi"/>
          <w:lang w:val="en-AU" w:eastAsia="hr-HR"/>
        </w:rPr>
        <w:t xml:space="preserve">Croatia’s regulatory architecture for hydrogen is under active development to create a transparent and investor-friendly environment. The key legislative instruments and processes are structured around three pillars: </w:t>
      </w:r>
      <w:r w:rsidRPr="00133EFC">
        <w:rPr>
          <w:rFonts w:asciiTheme="minorHAnsi" w:hAnsiTheme="minorHAnsi"/>
          <w:b/>
          <w:bCs/>
          <w:lang w:val="en-AU" w:eastAsia="hr-HR"/>
        </w:rPr>
        <w:t>energy legislation, environmental compliance, and market integration</w:t>
      </w:r>
      <w:r w:rsidRPr="00133EFC">
        <w:rPr>
          <w:rFonts w:asciiTheme="minorHAnsi" w:hAnsiTheme="minorHAnsi"/>
          <w:lang w:val="en-AU" w:eastAsia="hr-HR"/>
        </w:rPr>
        <w:t>.</w:t>
      </w:r>
    </w:p>
    <w:p w14:paraId="27AA7EAC" w14:textId="77777777" w:rsidR="00133EFC" w:rsidRPr="00133EFC" w:rsidRDefault="00133EFC" w:rsidP="00B63AA4">
      <w:pPr>
        <w:spacing w:before="100" w:beforeAutospacing="1" w:after="100" w:afterAutospacing="1"/>
        <w:ind w:left="0" w:right="0"/>
        <w:jc w:val="left"/>
        <w:rPr>
          <w:rFonts w:asciiTheme="minorHAnsi" w:hAnsiTheme="minorHAnsi"/>
          <w:lang w:val="en-AU" w:eastAsia="hr-HR"/>
        </w:rPr>
      </w:pPr>
      <w:r w:rsidRPr="00133EFC">
        <w:rPr>
          <w:rFonts w:asciiTheme="minorHAnsi" w:hAnsiTheme="minorHAnsi"/>
          <w:lang w:val="en-AU" w:eastAsia="hr-HR"/>
        </w:rPr>
        <w:t>The principal national documents guiding hydrogen regulation are:</w:t>
      </w:r>
    </w:p>
    <w:p w14:paraId="52CA6174" w14:textId="77777777" w:rsidR="00133EFC" w:rsidRPr="00133EFC" w:rsidRDefault="00133EFC" w:rsidP="00B63AA4">
      <w:pPr>
        <w:numPr>
          <w:ilvl w:val="0"/>
          <w:numId w:val="62"/>
        </w:numPr>
        <w:spacing w:before="100" w:beforeAutospacing="1" w:after="100" w:afterAutospacing="1"/>
        <w:ind w:right="0"/>
        <w:jc w:val="left"/>
        <w:rPr>
          <w:rFonts w:asciiTheme="minorHAnsi" w:hAnsiTheme="minorHAnsi"/>
          <w:lang w:val="en-AU" w:eastAsia="hr-HR"/>
        </w:rPr>
      </w:pPr>
      <w:r w:rsidRPr="00133EFC">
        <w:rPr>
          <w:rFonts w:asciiTheme="minorHAnsi" w:hAnsiTheme="minorHAnsi"/>
          <w:b/>
          <w:bCs/>
          <w:lang w:val="en-AU" w:eastAsia="hr-HR"/>
        </w:rPr>
        <w:t>Hydrogen Strategy of the Republic of Croatia until 2050</w:t>
      </w:r>
      <w:r w:rsidRPr="00133EFC">
        <w:rPr>
          <w:rFonts w:asciiTheme="minorHAnsi" w:hAnsiTheme="minorHAnsi"/>
          <w:lang w:val="en-AU" w:eastAsia="hr-HR"/>
        </w:rPr>
        <w:t xml:space="preserve"> (Official Gazette, 2023)</w:t>
      </w:r>
    </w:p>
    <w:p w14:paraId="3909783B" w14:textId="77777777" w:rsidR="00133EFC" w:rsidRPr="00133EFC" w:rsidRDefault="00133EFC" w:rsidP="00B63AA4">
      <w:pPr>
        <w:numPr>
          <w:ilvl w:val="0"/>
          <w:numId w:val="62"/>
        </w:numPr>
        <w:spacing w:before="100" w:beforeAutospacing="1" w:after="100" w:afterAutospacing="1"/>
        <w:ind w:right="0"/>
        <w:jc w:val="left"/>
        <w:rPr>
          <w:rFonts w:asciiTheme="minorHAnsi" w:hAnsiTheme="minorHAnsi"/>
          <w:lang w:val="en-AU" w:eastAsia="hr-HR"/>
        </w:rPr>
      </w:pPr>
      <w:r w:rsidRPr="00133EFC">
        <w:rPr>
          <w:rFonts w:asciiTheme="minorHAnsi" w:hAnsiTheme="minorHAnsi"/>
          <w:b/>
          <w:bCs/>
          <w:lang w:val="en-AU" w:eastAsia="hr-HR"/>
        </w:rPr>
        <w:t>Energy Development Strategy of the Republic of Croatia until 2030, with a View to 2050</w:t>
      </w:r>
      <w:r w:rsidRPr="00133EFC">
        <w:rPr>
          <w:rFonts w:asciiTheme="minorHAnsi" w:hAnsiTheme="minorHAnsi"/>
          <w:lang w:val="en-AU" w:eastAsia="hr-HR"/>
        </w:rPr>
        <w:t xml:space="preserve"> (Official Gazette, 2020)</w:t>
      </w:r>
    </w:p>
    <w:p w14:paraId="3B564826" w14:textId="77777777" w:rsidR="00133EFC" w:rsidRPr="00133EFC" w:rsidRDefault="00133EFC" w:rsidP="00B63AA4">
      <w:pPr>
        <w:numPr>
          <w:ilvl w:val="0"/>
          <w:numId w:val="62"/>
        </w:numPr>
        <w:spacing w:before="100" w:beforeAutospacing="1" w:after="100" w:afterAutospacing="1"/>
        <w:ind w:right="0"/>
        <w:jc w:val="left"/>
        <w:rPr>
          <w:rFonts w:asciiTheme="minorHAnsi" w:hAnsiTheme="minorHAnsi"/>
          <w:lang w:val="en-AU" w:eastAsia="hr-HR"/>
        </w:rPr>
      </w:pPr>
      <w:r w:rsidRPr="00133EFC">
        <w:rPr>
          <w:rFonts w:asciiTheme="minorHAnsi" w:hAnsiTheme="minorHAnsi"/>
          <w:b/>
          <w:bCs/>
          <w:lang w:val="en-AU" w:eastAsia="hr-HR"/>
        </w:rPr>
        <w:t>National Energy and Climate Plan (NECP)</w:t>
      </w:r>
    </w:p>
    <w:p w14:paraId="781AB60A" w14:textId="77777777" w:rsidR="00133EFC" w:rsidRPr="00133EFC" w:rsidRDefault="00133EFC" w:rsidP="00B63AA4">
      <w:pPr>
        <w:numPr>
          <w:ilvl w:val="0"/>
          <w:numId w:val="62"/>
        </w:numPr>
        <w:spacing w:before="100" w:beforeAutospacing="1" w:after="100" w:afterAutospacing="1"/>
        <w:ind w:right="0"/>
        <w:jc w:val="left"/>
        <w:rPr>
          <w:rFonts w:asciiTheme="minorHAnsi" w:hAnsiTheme="minorHAnsi"/>
          <w:lang w:val="en-AU" w:eastAsia="hr-HR"/>
        </w:rPr>
      </w:pPr>
      <w:r w:rsidRPr="00133EFC">
        <w:rPr>
          <w:rFonts w:asciiTheme="minorHAnsi" w:hAnsiTheme="minorHAnsi"/>
          <w:b/>
          <w:bCs/>
          <w:lang w:val="en-AU" w:eastAsia="hr-HR"/>
        </w:rPr>
        <w:t>Low-Carbon Development Strategy until 2030 with a Vision to 2050</w:t>
      </w:r>
    </w:p>
    <w:p w14:paraId="33C68E7A" w14:textId="77777777" w:rsidR="00133EFC" w:rsidRPr="00985093" w:rsidRDefault="00133EFC" w:rsidP="00B63AA4">
      <w:pPr>
        <w:numPr>
          <w:ilvl w:val="0"/>
          <w:numId w:val="62"/>
        </w:numPr>
        <w:spacing w:before="100" w:beforeAutospacing="1" w:after="100" w:afterAutospacing="1"/>
        <w:ind w:right="0"/>
        <w:jc w:val="left"/>
        <w:rPr>
          <w:rFonts w:asciiTheme="minorHAnsi" w:hAnsiTheme="minorHAnsi"/>
          <w:lang w:val="en-AU" w:eastAsia="hr-HR"/>
        </w:rPr>
      </w:pPr>
      <w:r w:rsidRPr="00985093">
        <w:rPr>
          <w:rFonts w:asciiTheme="minorHAnsi" w:hAnsiTheme="minorHAnsi"/>
          <w:b/>
          <w:bCs/>
          <w:lang w:val="en-AU" w:eastAsia="hr-HR"/>
        </w:rPr>
        <w:t>Environmental Protection Act</w:t>
      </w:r>
      <w:r w:rsidRPr="00985093">
        <w:rPr>
          <w:rFonts w:asciiTheme="minorHAnsi" w:hAnsiTheme="minorHAnsi"/>
          <w:lang w:val="en-AU" w:eastAsia="hr-HR"/>
        </w:rPr>
        <w:t xml:space="preserve"> (Official Gazette 80/13, 78/15, 118/18, 110/21)</w:t>
      </w:r>
    </w:p>
    <w:p w14:paraId="6354A713" w14:textId="77777777" w:rsidR="00133EFC" w:rsidRPr="00985093" w:rsidRDefault="00133EFC" w:rsidP="00B63AA4">
      <w:pPr>
        <w:spacing w:before="100" w:beforeAutospacing="1" w:after="100" w:afterAutospacing="1"/>
        <w:ind w:left="0" w:right="0"/>
        <w:jc w:val="left"/>
        <w:rPr>
          <w:rFonts w:asciiTheme="minorHAnsi" w:hAnsiTheme="minorHAnsi"/>
          <w:lang w:val="en-AU" w:eastAsia="hr-HR"/>
        </w:rPr>
      </w:pPr>
      <w:r w:rsidRPr="00985093">
        <w:rPr>
          <w:rFonts w:asciiTheme="minorHAnsi" w:hAnsiTheme="minorHAnsi"/>
          <w:lang w:val="en-AU" w:eastAsia="hr-HR"/>
        </w:rPr>
        <w:t>These documents collectively establish the policy direction for hydrogen development, define long-term emission reduction targets, and integrate hydrogen as a key vector of Croatia’s green transition.</w:t>
      </w:r>
    </w:p>
    <w:p w14:paraId="5C301AFE" w14:textId="77777777" w:rsidR="00133EFC" w:rsidRPr="00985093" w:rsidRDefault="00133EFC" w:rsidP="00B63AA4">
      <w:pPr>
        <w:spacing w:before="100" w:beforeAutospacing="1" w:after="100" w:afterAutospacing="1"/>
        <w:ind w:left="0" w:right="0"/>
        <w:jc w:val="left"/>
        <w:rPr>
          <w:rFonts w:asciiTheme="minorHAnsi" w:hAnsiTheme="minorHAnsi"/>
          <w:lang w:val="en-AU" w:eastAsia="hr-HR"/>
        </w:rPr>
      </w:pPr>
      <w:r w:rsidRPr="00985093">
        <w:rPr>
          <w:rFonts w:asciiTheme="minorHAnsi" w:hAnsiTheme="minorHAnsi"/>
          <w:lang w:val="en-AU" w:eastAsia="hr-HR"/>
        </w:rPr>
        <w:lastRenderedPageBreak/>
        <w:t xml:space="preserve">Croatia’s legal framework is harmonized with the </w:t>
      </w:r>
      <w:r w:rsidRPr="00985093">
        <w:rPr>
          <w:rFonts w:asciiTheme="minorHAnsi" w:hAnsiTheme="minorHAnsi"/>
          <w:b/>
          <w:bCs/>
          <w:lang w:val="en-AU" w:eastAsia="hr-HR"/>
        </w:rPr>
        <w:t>EU Hydrogen and Decarbonised Gas Market Package</w:t>
      </w:r>
      <w:r w:rsidRPr="00985093">
        <w:rPr>
          <w:rFonts w:asciiTheme="minorHAnsi" w:hAnsiTheme="minorHAnsi"/>
          <w:lang w:val="en-AU" w:eastAsia="hr-HR"/>
        </w:rPr>
        <w:t xml:space="preserve"> (2023), ensuring compliance with provisions concerning:</w:t>
      </w:r>
    </w:p>
    <w:p w14:paraId="3C886E2C" w14:textId="77777777" w:rsidR="00133EFC" w:rsidRPr="00985093" w:rsidRDefault="00133EFC" w:rsidP="00B63AA4">
      <w:pPr>
        <w:numPr>
          <w:ilvl w:val="0"/>
          <w:numId w:val="63"/>
        </w:numPr>
        <w:spacing w:before="100" w:beforeAutospacing="1" w:after="100" w:afterAutospacing="1"/>
        <w:ind w:right="0"/>
        <w:jc w:val="left"/>
        <w:rPr>
          <w:rFonts w:asciiTheme="minorHAnsi" w:hAnsiTheme="minorHAnsi"/>
          <w:lang w:val="en-AU" w:eastAsia="hr-HR"/>
        </w:rPr>
      </w:pPr>
      <w:r w:rsidRPr="00985093">
        <w:rPr>
          <w:rFonts w:asciiTheme="minorHAnsi" w:hAnsiTheme="minorHAnsi"/>
          <w:lang w:val="en-AU" w:eastAsia="hr-HR"/>
        </w:rPr>
        <w:t>Market access for renewable and low-carbon hydrogen.</w:t>
      </w:r>
    </w:p>
    <w:p w14:paraId="58F7570A" w14:textId="77777777" w:rsidR="00133EFC" w:rsidRPr="00985093" w:rsidRDefault="00133EFC" w:rsidP="00B63AA4">
      <w:pPr>
        <w:numPr>
          <w:ilvl w:val="0"/>
          <w:numId w:val="63"/>
        </w:numPr>
        <w:spacing w:before="100" w:beforeAutospacing="1" w:after="100" w:afterAutospacing="1"/>
        <w:ind w:right="0"/>
        <w:jc w:val="left"/>
        <w:rPr>
          <w:rFonts w:asciiTheme="minorHAnsi" w:hAnsiTheme="minorHAnsi"/>
          <w:lang w:val="en-AU" w:eastAsia="hr-HR"/>
        </w:rPr>
      </w:pPr>
      <w:r w:rsidRPr="00985093">
        <w:rPr>
          <w:rFonts w:asciiTheme="minorHAnsi" w:hAnsiTheme="minorHAnsi"/>
          <w:lang w:val="en-AU" w:eastAsia="hr-HR"/>
        </w:rPr>
        <w:t>Infrastructure unbundling and third-party access.</w:t>
      </w:r>
    </w:p>
    <w:p w14:paraId="23D2F84C" w14:textId="77777777" w:rsidR="00133EFC" w:rsidRPr="00985093" w:rsidRDefault="00133EFC" w:rsidP="00B63AA4">
      <w:pPr>
        <w:numPr>
          <w:ilvl w:val="0"/>
          <w:numId w:val="63"/>
        </w:numPr>
        <w:spacing w:before="100" w:beforeAutospacing="1" w:after="100" w:afterAutospacing="1"/>
        <w:ind w:right="0"/>
        <w:jc w:val="left"/>
        <w:rPr>
          <w:rFonts w:asciiTheme="minorHAnsi" w:hAnsiTheme="minorHAnsi"/>
          <w:lang w:val="en-AU" w:eastAsia="hr-HR"/>
        </w:rPr>
      </w:pPr>
      <w:r w:rsidRPr="00985093">
        <w:rPr>
          <w:rFonts w:asciiTheme="minorHAnsi" w:hAnsiTheme="minorHAnsi"/>
          <w:lang w:val="en-AU" w:eastAsia="hr-HR"/>
        </w:rPr>
        <w:t>Cross-border hydrogen transport and network interoperability.</w:t>
      </w:r>
    </w:p>
    <w:p w14:paraId="6F8C3108" w14:textId="77777777" w:rsidR="00133EFC" w:rsidRPr="00985093" w:rsidRDefault="00133EFC" w:rsidP="00B63AA4">
      <w:pPr>
        <w:numPr>
          <w:ilvl w:val="0"/>
          <w:numId w:val="63"/>
        </w:numPr>
        <w:spacing w:before="100" w:beforeAutospacing="1" w:after="100" w:afterAutospacing="1"/>
        <w:ind w:right="0"/>
        <w:jc w:val="left"/>
        <w:rPr>
          <w:rFonts w:asciiTheme="minorHAnsi" w:hAnsiTheme="minorHAnsi"/>
          <w:lang w:val="en-AU" w:eastAsia="hr-HR"/>
        </w:rPr>
      </w:pPr>
      <w:r w:rsidRPr="00985093">
        <w:rPr>
          <w:rFonts w:asciiTheme="minorHAnsi" w:hAnsiTheme="minorHAnsi"/>
          <w:lang w:val="en-AU" w:eastAsia="hr-HR"/>
        </w:rPr>
        <w:t xml:space="preserve">Certification and traceability of hydrogen origin based on the </w:t>
      </w:r>
      <w:r w:rsidRPr="00985093">
        <w:rPr>
          <w:rFonts w:asciiTheme="minorHAnsi" w:hAnsiTheme="minorHAnsi"/>
          <w:b/>
          <w:bCs/>
          <w:lang w:val="en-AU" w:eastAsia="hr-HR"/>
        </w:rPr>
        <w:t>EU Delegated Acts (2023/2400 and 2023/1184)</w:t>
      </w:r>
      <w:r w:rsidRPr="00985093">
        <w:rPr>
          <w:rFonts w:asciiTheme="minorHAnsi" w:hAnsiTheme="minorHAnsi"/>
          <w:lang w:val="en-AU" w:eastAsia="hr-HR"/>
        </w:rPr>
        <w:t xml:space="preserve"> defining renewable hydrogen criteria.</w:t>
      </w:r>
    </w:p>
    <w:p w14:paraId="7041ED4D" w14:textId="07934F80" w:rsidR="00133EFC" w:rsidRDefault="00133EFC" w:rsidP="00B63AA4">
      <w:pPr>
        <w:spacing w:before="100" w:beforeAutospacing="1" w:after="100" w:afterAutospacing="1"/>
        <w:ind w:left="0" w:right="0"/>
        <w:rPr>
          <w:rFonts w:asciiTheme="minorHAnsi" w:hAnsiTheme="minorHAnsi"/>
          <w:lang w:val="en-AU" w:eastAsia="hr-HR"/>
        </w:rPr>
      </w:pPr>
      <w:r w:rsidRPr="00133EFC">
        <w:rPr>
          <w:rFonts w:asciiTheme="minorHAnsi" w:hAnsiTheme="minorHAnsi"/>
          <w:lang w:val="en-AU" w:eastAsia="hr-HR"/>
        </w:rPr>
        <w:t xml:space="preserve">Furthermore, Croatia participates in the </w:t>
      </w:r>
      <w:r w:rsidRPr="00133EFC">
        <w:rPr>
          <w:rFonts w:asciiTheme="minorHAnsi" w:hAnsiTheme="minorHAnsi"/>
          <w:b/>
          <w:bCs/>
          <w:lang w:val="en-AU" w:eastAsia="hr-HR"/>
        </w:rPr>
        <w:t>European Hydrogen Backbone (EHB)</w:t>
      </w:r>
      <w:r w:rsidRPr="00133EFC">
        <w:rPr>
          <w:rFonts w:asciiTheme="minorHAnsi" w:hAnsiTheme="minorHAnsi"/>
          <w:lang w:val="en-AU" w:eastAsia="hr-HR"/>
        </w:rPr>
        <w:t xml:space="preserve"> initiative, contributing to the regional planning of hydrogen pipelines and interconnections in Central and Southeast Europe.</w:t>
      </w:r>
    </w:p>
    <w:p w14:paraId="395D9D5E" w14:textId="316BD26A" w:rsidR="008E2C1D" w:rsidRDefault="008E2C1D" w:rsidP="00B63AA4">
      <w:pPr>
        <w:spacing w:before="100" w:beforeAutospacing="1" w:after="100" w:afterAutospacing="1"/>
        <w:ind w:left="0" w:right="0"/>
        <w:rPr>
          <w:rFonts w:asciiTheme="minorHAnsi" w:hAnsiTheme="minorHAnsi"/>
          <w:lang w:val="en-AU" w:eastAsia="hr-HR"/>
        </w:rPr>
      </w:pPr>
      <w:r>
        <w:rPr>
          <w:rFonts w:asciiTheme="minorHAnsi" w:hAnsiTheme="minorHAnsi"/>
          <w:lang w:val="en-AU" w:eastAsia="hr-HR"/>
        </w:rPr>
        <w:t>Croatia is actively working on Acts and Guidelines related hydrogen technology across hydrogen value chain. The Guidelines</w:t>
      </w:r>
      <w:r w:rsidRPr="008E2C1D">
        <w:rPr>
          <w:rFonts w:asciiTheme="minorHAnsi" w:hAnsiTheme="minorHAnsi"/>
          <w:lang w:val="en-AU" w:eastAsia="hr-HR"/>
        </w:rPr>
        <w:t xml:space="preserve"> on systems for supplying motor vehicles with compressed hydrogen</w:t>
      </w:r>
      <w:r>
        <w:rPr>
          <w:rFonts w:asciiTheme="minorHAnsi" w:hAnsiTheme="minorHAnsi"/>
          <w:lang w:val="en-AU" w:eastAsia="hr-HR"/>
        </w:rPr>
        <w:t>, that was initiated by MoE, is currently in its final stage and is expected to be published very soon.</w:t>
      </w:r>
    </w:p>
    <w:p w14:paraId="35957C61" w14:textId="06C997E9" w:rsidR="00133EFC" w:rsidRPr="00204D56" w:rsidRDefault="00204D56" w:rsidP="00B63AA4">
      <w:pPr>
        <w:spacing w:before="100" w:beforeAutospacing="1" w:after="100" w:afterAutospacing="1"/>
        <w:ind w:left="0" w:right="0"/>
        <w:rPr>
          <w:rFonts w:asciiTheme="minorHAnsi" w:hAnsiTheme="minorHAnsi"/>
          <w:lang w:val="en-AU" w:eastAsia="hr-HR"/>
        </w:rPr>
      </w:pPr>
      <w:r w:rsidRPr="00204D56">
        <w:rPr>
          <w:rFonts w:asciiTheme="minorHAnsi" w:hAnsiTheme="minorHAnsi"/>
        </w:rPr>
        <w:t>The licensing framework for hydrogen facilities is currently being adapted from existing natural gas and electricity regulations, and new hydrogen-specific legislation is under preparation by the Ministry of Economy and Sustainable Development. Croatia has adopted a national Hydrogen Strategy to 2050, outlining strategic goals for hydrogen production, transport, and utilisation that is aligned with EU policy frameworks. Additionally, national authorities are progressing with implementing hydrogen safety and infrastructure regulations (e.g., draft rules for hydrogen refuelling stations), in the context of emerging EU legislation such as Directive (EU) 2024/1788 on common rules for gas and hydrogen markets.</w:t>
      </w:r>
      <w:r w:rsidR="00133EFC" w:rsidRPr="00204D56">
        <w:rPr>
          <w:rFonts w:asciiTheme="minorHAnsi" w:hAnsiTheme="minorHAnsi"/>
          <w:lang w:val="en-AU" w:eastAsia="hr-HR"/>
        </w:rPr>
        <w:t xml:space="preserve"> The forthcoming </w:t>
      </w:r>
      <w:r w:rsidR="00133EFC" w:rsidRPr="00204D56">
        <w:rPr>
          <w:rFonts w:asciiTheme="minorHAnsi" w:hAnsiTheme="minorHAnsi"/>
          <w:b/>
          <w:bCs/>
          <w:lang w:val="en-AU" w:eastAsia="hr-HR"/>
        </w:rPr>
        <w:t>Hydrogen Act (Zakon o vodiku)</w:t>
      </w:r>
      <w:r w:rsidR="00133EFC" w:rsidRPr="00204D56">
        <w:rPr>
          <w:rFonts w:asciiTheme="minorHAnsi" w:hAnsiTheme="minorHAnsi"/>
          <w:lang w:val="en-AU" w:eastAsia="hr-HR"/>
        </w:rPr>
        <w:t xml:space="preserve"> — under preparation by the MoE — will establish:</w:t>
      </w:r>
    </w:p>
    <w:p w14:paraId="42D15920" w14:textId="77777777" w:rsidR="00133EFC" w:rsidRPr="00133EFC" w:rsidRDefault="00133EFC" w:rsidP="00B63AA4">
      <w:pPr>
        <w:numPr>
          <w:ilvl w:val="0"/>
          <w:numId w:val="64"/>
        </w:numPr>
        <w:spacing w:before="100" w:beforeAutospacing="1" w:after="100" w:afterAutospacing="1"/>
        <w:ind w:right="0"/>
        <w:rPr>
          <w:rFonts w:asciiTheme="minorHAnsi" w:hAnsiTheme="minorHAnsi"/>
          <w:lang w:val="en-AU" w:eastAsia="hr-HR"/>
        </w:rPr>
      </w:pPr>
      <w:r w:rsidRPr="00133EFC">
        <w:rPr>
          <w:rFonts w:asciiTheme="minorHAnsi" w:hAnsiTheme="minorHAnsi"/>
          <w:lang w:val="en-AU" w:eastAsia="hr-HR"/>
        </w:rPr>
        <w:t>Licensing procedures for hydrogen production, storage, transport, and distribution.</w:t>
      </w:r>
    </w:p>
    <w:p w14:paraId="7454E9D4" w14:textId="77777777" w:rsidR="00133EFC" w:rsidRPr="00133EFC" w:rsidRDefault="00133EFC" w:rsidP="00B63AA4">
      <w:pPr>
        <w:numPr>
          <w:ilvl w:val="0"/>
          <w:numId w:val="64"/>
        </w:numPr>
        <w:spacing w:before="100" w:beforeAutospacing="1" w:after="100" w:afterAutospacing="1"/>
        <w:ind w:right="0"/>
        <w:rPr>
          <w:rFonts w:asciiTheme="minorHAnsi" w:hAnsiTheme="minorHAnsi"/>
          <w:lang w:val="en-AU" w:eastAsia="hr-HR"/>
        </w:rPr>
      </w:pPr>
      <w:r w:rsidRPr="00133EFC">
        <w:rPr>
          <w:rFonts w:asciiTheme="minorHAnsi" w:hAnsiTheme="minorHAnsi"/>
          <w:lang w:val="en-AU" w:eastAsia="hr-HR"/>
        </w:rPr>
        <w:t>Safety and environmental standards for hydrogen installations.</w:t>
      </w:r>
    </w:p>
    <w:p w14:paraId="789B559C" w14:textId="77777777" w:rsidR="00133EFC" w:rsidRPr="00133EFC" w:rsidRDefault="00133EFC" w:rsidP="00B63AA4">
      <w:pPr>
        <w:numPr>
          <w:ilvl w:val="0"/>
          <w:numId w:val="64"/>
        </w:numPr>
        <w:spacing w:before="100" w:beforeAutospacing="1" w:after="100" w:afterAutospacing="1"/>
        <w:ind w:right="0"/>
        <w:rPr>
          <w:rFonts w:asciiTheme="minorHAnsi" w:hAnsiTheme="minorHAnsi"/>
          <w:lang w:val="en-AU" w:eastAsia="hr-HR"/>
        </w:rPr>
      </w:pPr>
      <w:r w:rsidRPr="00133EFC">
        <w:rPr>
          <w:rFonts w:asciiTheme="minorHAnsi" w:hAnsiTheme="minorHAnsi"/>
          <w:lang w:val="en-AU" w:eastAsia="hr-HR"/>
        </w:rPr>
        <w:t>Rules for connection to energy networks.</w:t>
      </w:r>
    </w:p>
    <w:p w14:paraId="7A303B94" w14:textId="77777777" w:rsidR="00133EFC" w:rsidRPr="00133EFC" w:rsidRDefault="00133EFC" w:rsidP="00B63AA4">
      <w:pPr>
        <w:numPr>
          <w:ilvl w:val="0"/>
          <w:numId w:val="64"/>
        </w:numPr>
        <w:spacing w:before="100" w:beforeAutospacing="1" w:after="100" w:afterAutospacing="1"/>
        <w:ind w:right="0"/>
        <w:rPr>
          <w:rFonts w:asciiTheme="minorHAnsi" w:hAnsiTheme="minorHAnsi"/>
          <w:lang w:val="en-AU" w:eastAsia="hr-HR"/>
        </w:rPr>
      </w:pPr>
      <w:r w:rsidRPr="00133EFC">
        <w:rPr>
          <w:rFonts w:asciiTheme="minorHAnsi" w:hAnsiTheme="minorHAnsi"/>
          <w:lang w:val="en-AU" w:eastAsia="hr-HR"/>
        </w:rPr>
        <w:t xml:space="preserve">Criteria for designation of hydrogen infrastructure as </w:t>
      </w:r>
      <w:r w:rsidRPr="00133EFC">
        <w:rPr>
          <w:rFonts w:asciiTheme="minorHAnsi" w:hAnsiTheme="minorHAnsi"/>
          <w:b/>
          <w:bCs/>
          <w:lang w:val="en-AU" w:eastAsia="hr-HR"/>
        </w:rPr>
        <w:t>Projects of Common Interest (PCI)</w:t>
      </w:r>
      <w:r w:rsidRPr="00133EFC">
        <w:rPr>
          <w:rFonts w:asciiTheme="minorHAnsi" w:hAnsiTheme="minorHAnsi"/>
          <w:lang w:val="en-AU" w:eastAsia="hr-HR"/>
        </w:rPr>
        <w:t xml:space="preserve"> or </w:t>
      </w:r>
      <w:r w:rsidRPr="00133EFC">
        <w:rPr>
          <w:rFonts w:asciiTheme="minorHAnsi" w:hAnsiTheme="minorHAnsi"/>
          <w:b/>
          <w:bCs/>
          <w:lang w:val="en-AU" w:eastAsia="hr-HR"/>
        </w:rPr>
        <w:t>Projects of Energy Community Interest (PECI)</w:t>
      </w:r>
      <w:r w:rsidRPr="00133EFC">
        <w:rPr>
          <w:rFonts w:asciiTheme="minorHAnsi" w:hAnsiTheme="minorHAnsi"/>
          <w:lang w:val="en-AU" w:eastAsia="hr-HR"/>
        </w:rPr>
        <w:t>.</w:t>
      </w:r>
    </w:p>
    <w:p w14:paraId="3D62C6E1" w14:textId="2C715326" w:rsidR="00133EFC" w:rsidRPr="00133EFC" w:rsidRDefault="00133EFC" w:rsidP="00B63AA4">
      <w:pPr>
        <w:spacing w:before="100" w:beforeAutospacing="1" w:after="100" w:afterAutospacing="1"/>
        <w:ind w:left="0" w:right="0"/>
        <w:rPr>
          <w:rFonts w:asciiTheme="minorHAnsi" w:hAnsiTheme="minorHAnsi"/>
          <w:lang w:val="en-AU" w:eastAsia="hr-HR"/>
        </w:rPr>
      </w:pPr>
      <w:r w:rsidRPr="00133EFC">
        <w:rPr>
          <w:rFonts w:asciiTheme="minorHAnsi" w:hAnsiTheme="minorHAnsi"/>
          <w:lang w:val="en-AU" w:eastAsia="hr-HR"/>
        </w:rPr>
        <w:t>This law will also define the roles of regulatory authorities, ensuring coherence between hydrogen, electricity, and gas markets.</w:t>
      </w:r>
    </w:p>
    <w:p w14:paraId="607EDC5A" w14:textId="63D9C149" w:rsidR="00133EFC" w:rsidRPr="00133EFC" w:rsidRDefault="00133EFC" w:rsidP="00B63AA4">
      <w:pPr>
        <w:spacing w:before="100" w:beforeAutospacing="1" w:after="100" w:afterAutospacing="1"/>
        <w:ind w:left="0" w:right="0"/>
        <w:rPr>
          <w:rFonts w:asciiTheme="minorHAnsi" w:hAnsiTheme="minorHAnsi"/>
          <w:lang w:val="en-AU" w:eastAsia="hr-HR"/>
        </w:rPr>
      </w:pPr>
      <w:r w:rsidRPr="00133EFC">
        <w:rPr>
          <w:rFonts w:asciiTheme="minorHAnsi" w:hAnsiTheme="minorHAnsi"/>
          <w:lang w:val="en-AU" w:eastAsia="hr-HR"/>
        </w:rPr>
        <w:t xml:space="preserve">Hydrogen projects must comply with Croatia’s </w:t>
      </w:r>
      <w:r w:rsidRPr="00133EFC">
        <w:rPr>
          <w:rFonts w:asciiTheme="minorHAnsi" w:hAnsiTheme="minorHAnsi"/>
          <w:b/>
          <w:bCs/>
          <w:lang w:val="en-AU" w:eastAsia="hr-HR"/>
        </w:rPr>
        <w:t>Environmental Impact Assessment (EIA)</w:t>
      </w:r>
      <w:r w:rsidRPr="00133EFC">
        <w:rPr>
          <w:rFonts w:asciiTheme="minorHAnsi" w:hAnsiTheme="minorHAnsi"/>
          <w:lang w:val="en-AU" w:eastAsia="hr-HR"/>
        </w:rPr>
        <w:t xml:space="preserve"> and </w:t>
      </w:r>
      <w:r w:rsidRPr="00133EFC">
        <w:rPr>
          <w:rFonts w:asciiTheme="minorHAnsi" w:hAnsiTheme="minorHAnsi"/>
          <w:b/>
          <w:bCs/>
          <w:lang w:val="en-AU" w:eastAsia="hr-HR"/>
        </w:rPr>
        <w:t>Strategic Environmental Assessment (SEA)</w:t>
      </w:r>
      <w:r w:rsidRPr="00133EFC">
        <w:rPr>
          <w:rFonts w:asciiTheme="minorHAnsi" w:hAnsiTheme="minorHAnsi"/>
          <w:lang w:val="en-AU" w:eastAsia="hr-HR"/>
        </w:rPr>
        <w:t xml:space="preserve"> procedures, in accordance with the </w:t>
      </w:r>
      <w:r w:rsidRPr="00133EFC">
        <w:rPr>
          <w:rFonts w:asciiTheme="minorHAnsi" w:hAnsiTheme="minorHAnsi"/>
          <w:b/>
          <w:bCs/>
          <w:lang w:val="en-AU" w:eastAsia="hr-HR"/>
        </w:rPr>
        <w:t>Environmental Protection Act</w:t>
      </w:r>
      <w:r w:rsidRPr="00133EFC">
        <w:rPr>
          <w:rFonts w:asciiTheme="minorHAnsi" w:hAnsiTheme="minorHAnsi"/>
          <w:lang w:val="en-AU" w:eastAsia="hr-HR"/>
        </w:rPr>
        <w:t xml:space="preserve"> and </w:t>
      </w:r>
      <w:r w:rsidRPr="00133EFC">
        <w:rPr>
          <w:rFonts w:asciiTheme="minorHAnsi" w:hAnsiTheme="minorHAnsi"/>
          <w:b/>
          <w:bCs/>
          <w:lang w:val="en-AU" w:eastAsia="hr-HR"/>
        </w:rPr>
        <w:t>EU Directive 2011/92/EU</w:t>
      </w:r>
      <w:r w:rsidRPr="00133EFC">
        <w:rPr>
          <w:rFonts w:asciiTheme="minorHAnsi" w:hAnsiTheme="minorHAnsi"/>
          <w:lang w:val="en-AU" w:eastAsia="hr-HR"/>
        </w:rPr>
        <w:t xml:space="preserve">. Safety standards are governed by the </w:t>
      </w:r>
      <w:r w:rsidRPr="00133EFC">
        <w:rPr>
          <w:rFonts w:asciiTheme="minorHAnsi" w:hAnsiTheme="minorHAnsi"/>
          <w:b/>
          <w:bCs/>
          <w:lang w:val="en-AU" w:eastAsia="hr-HR"/>
        </w:rPr>
        <w:t>Occupational Safety Act</w:t>
      </w:r>
      <w:r w:rsidRPr="00133EFC">
        <w:rPr>
          <w:rFonts w:asciiTheme="minorHAnsi" w:hAnsiTheme="minorHAnsi"/>
          <w:lang w:val="en-AU" w:eastAsia="hr-HR"/>
        </w:rPr>
        <w:t xml:space="preserve">, the </w:t>
      </w:r>
      <w:r w:rsidRPr="00133EFC">
        <w:rPr>
          <w:rFonts w:asciiTheme="minorHAnsi" w:hAnsiTheme="minorHAnsi"/>
          <w:b/>
          <w:bCs/>
          <w:lang w:val="en-AU" w:eastAsia="hr-HR"/>
        </w:rPr>
        <w:t>Fire Protection Act</w:t>
      </w:r>
      <w:r w:rsidRPr="00133EFC">
        <w:rPr>
          <w:rFonts w:asciiTheme="minorHAnsi" w:hAnsiTheme="minorHAnsi"/>
          <w:lang w:val="en-AU" w:eastAsia="hr-HR"/>
        </w:rPr>
        <w:t>, and relevant EU technical directives, ensuring secure handling and operation of hydrogen technologies.</w:t>
      </w:r>
    </w:p>
    <w:p w14:paraId="6EB679D5" w14:textId="77777777" w:rsidR="00133EFC" w:rsidRPr="00133EFC" w:rsidRDefault="00133EFC" w:rsidP="00B63AA4">
      <w:pPr>
        <w:spacing w:before="100" w:beforeAutospacing="1" w:after="100" w:afterAutospacing="1"/>
        <w:ind w:left="0" w:right="0"/>
        <w:rPr>
          <w:rFonts w:asciiTheme="minorHAnsi" w:hAnsiTheme="minorHAnsi"/>
          <w:lang w:val="en-AU" w:eastAsia="hr-HR"/>
        </w:rPr>
      </w:pPr>
      <w:r w:rsidRPr="00133EFC">
        <w:rPr>
          <w:rFonts w:asciiTheme="minorHAnsi" w:hAnsiTheme="minorHAnsi"/>
          <w:lang w:val="en-AU" w:eastAsia="hr-HR"/>
        </w:rPr>
        <w:t>While Croatia has established a strong institutional foundation, several challenges remain:</w:t>
      </w:r>
    </w:p>
    <w:p w14:paraId="696CD5CA" w14:textId="77777777" w:rsidR="00133EFC" w:rsidRPr="00133EFC" w:rsidRDefault="00133EFC" w:rsidP="00B63AA4">
      <w:pPr>
        <w:numPr>
          <w:ilvl w:val="0"/>
          <w:numId w:val="67"/>
        </w:numPr>
        <w:spacing w:before="100" w:beforeAutospacing="1" w:after="100" w:afterAutospacing="1"/>
        <w:ind w:right="0"/>
        <w:rPr>
          <w:rFonts w:asciiTheme="minorHAnsi" w:hAnsiTheme="minorHAnsi"/>
          <w:lang w:val="en-AU" w:eastAsia="hr-HR"/>
        </w:rPr>
      </w:pPr>
      <w:r w:rsidRPr="00133EFC">
        <w:rPr>
          <w:rFonts w:asciiTheme="minorHAnsi" w:hAnsiTheme="minorHAnsi"/>
          <w:lang w:val="en-AU" w:eastAsia="hr-HR"/>
        </w:rPr>
        <w:t xml:space="preserve">Finalization and implementation of a </w:t>
      </w:r>
      <w:r w:rsidRPr="00133EFC">
        <w:rPr>
          <w:rFonts w:asciiTheme="minorHAnsi" w:hAnsiTheme="minorHAnsi"/>
          <w:b/>
          <w:bCs/>
          <w:lang w:val="en-AU" w:eastAsia="hr-HR"/>
        </w:rPr>
        <w:t>dedicated Hydrogen Act</w:t>
      </w:r>
      <w:r w:rsidRPr="00133EFC">
        <w:rPr>
          <w:rFonts w:asciiTheme="minorHAnsi" w:hAnsiTheme="minorHAnsi"/>
          <w:lang w:val="en-AU" w:eastAsia="hr-HR"/>
        </w:rPr>
        <w:t xml:space="preserve"> and secondary legislation.</w:t>
      </w:r>
    </w:p>
    <w:p w14:paraId="0F529880" w14:textId="77777777" w:rsidR="00133EFC" w:rsidRPr="00133EFC" w:rsidRDefault="00133EFC" w:rsidP="00B63AA4">
      <w:pPr>
        <w:numPr>
          <w:ilvl w:val="0"/>
          <w:numId w:val="67"/>
        </w:numPr>
        <w:spacing w:before="100" w:beforeAutospacing="1" w:after="100" w:afterAutospacing="1"/>
        <w:ind w:right="0"/>
        <w:rPr>
          <w:rFonts w:asciiTheme="minorHAnsi" w:hAnsiTheme="minorHAnsi"/>
          <w:lang w:val="en-AU" w:eastAsia="hr-HR"/>
        </w:rPr>
      </w:pPr>
      <w:r w:rsidRPr="00133EFC">
        <w:rPr>
          <w:rFonts w:asciiTheme="minorHAnsi" w:hAnsiTheme="minorHAnsi"/>
          <w:lang w:val="en-AU" w:eastAsia="hr-HR"/>
        </w:rPr>
        <w:t xml:space="preserve">Development of a </w:t>
      </w:r>
      <w:r w:rsidRPr="00133EFC">
        <w:rPr>
          <w:rFonts w:asciiTheme="minorHAnsi" w:hAnsiTheme="minorHAnsi"/>
          <w:b/>
          <w:bCs/>
          <w:lang w:val="en-AU" w:eastAsia="hr-HR"/>
        </w:rPr>
        <w:t>comprehensive certification system</w:t>
      </w:r>
      <w:r w:rsidRPr="00133EFC">
        <w:rPr>
          <w:rFonts w:asciiTheme="minorHAnsi" w:hAnsiTheme="minorHAnsi"/>
          <w:lang w:val="en-AU" w:eastAsia="hr-HR"/>
        </w:rPr>
        <w:t xml:space="preserve"> for renewable hydrogen aligned with EU standards.</w:t>
      </w:r>
    </w:p>
    <w:p w14:paraId="6EB1327A" w14:textId="77777777" w:rsidR="00133EFC" w:rsidRPr="00133EFC" w:rsidRDefault="00133EFC" w:rsidP="00B63AA4">
      <w:pPr>
        <w:numPr>
          <w:ilvl w:val="0"/>
          <w:numId w:val="67"/>
        </w:numPr>
        <w:spacing w:before="100" w:beforeAutospacing="1" w:after="100" w:afterAutospacing="1"/>
        <w:ind w:right="0"/>
        <w:rPr>
          <w:rFonts w:asciiTheme="minorHAnsi" w:hAnsiTheme="minorHAnsi"/>
          <w:lang w:val="en-AU" w:eastAsia="hr-HR"/>
        </w:rPr>
      </w:pPr>
      <w:r w:rsidRPr="00133EFC">
        <w:rPr>
          <w:rFonts w:asciiTheme="minorHAnsi" w:hAnsiTheme="minorHAnsi"/>
          <w:lang w:val="en-AU" w:eastAsia="hr-HR"/>
        </w:rPr>
        <w:t xml:space="preserve">Streamlining </w:t>
      </w:r>
      <w:r w:rsidRPr="00133EFC">
        <w:rPr>
          <w:rFonts w:asciiTheme="minorHAnsi" w:hAnsiTheme="minorHAnsi"/>
          <w:b/>
          <w:bCs/>
          <w:lang w:val="en-AU" w:eastAsia="hr-HR"/>
        </w:rPr>
        <w:t>permitting and administrative procedures</w:t>
      </w:r>
      <w:r w:rsidRPr="00133EFC">
        <w:rPr>
          <w:rFonts w:asciiTheme="minorHAnsi" w:hAnsiTheme="minorHAnsi"/>
          <w:lang w:val="en-AU" w:eastAsia="hr-HR"/>
        </w:rPr>
        <w:t xml:space="preserve"> for hydrogen infrastructure.</w:t>
      </w:r>
    </w:p>
    <w:p w14:paraId="1EEA5334" w14:textId="77777777" w:rsidR="00133EFC" w:rsidRPr="00133EFC" w:rsidRDefault="00133EFC" w:rsidP="00B63AA4">
      <w:pPr>
        <w:numPr>
          <w:ilvl w:val="0"/>
          <w:numId w:val="67"/>
        </w:numPr>
        <w:spacing w:before="100" w:beforeAutospacing="1" w:after="100" w:afterAutospacing="1"/>
        <w:ind w:right="0"/>
        <w:rPr>
          <w:rFonts w:asciiTheme="minorHAnsi" w:hAnsiTheme="minorHAnsi"/>
          <w:lang w:val="en-AU" w:eastAsia="hr-HR"/>
        </w:rPr>
      </w:pPr>
      <w:r w:rsidRPr="00133EFC">
        <w:rPr>
          <w:rFonts w:asciiTheme="minorHAnsi" w:hAnsiTheme="minorHAnsi"/>
          <w:lang w:val="en-AU" w:eastAsia="hr-HR"/>
        </w:rPr>
        <w:t xml:space="preserve">Strengthening </w:t>
      </w:r>
      <w:r w:rsidRPr="00133EFC">
        <w:rPr>
          <w:rFonts w:asciiTheme="minorHAnsi" w:hAnsiTheme="minorHAnsi"/>
          <w:b/>
          <w:bCs/>
          <w:lang w:val="en-AU" w:eastAsia="hr-HR"/>
        </w:rPr>
        <w:t>capacity building</w:t>
      </w:r>
      <w:r w:rsidRPr="00133EFC">
        <w:rPr>
          <w:rFonts w:asciiTheme="minorHAnsi" w:hAnsiTheme="minorHAnsi"/>
          <w:lang w:val="en-AU" w:eastAsia="hr-HR"/>
        </w:rPr>
        <w:t xml:space="preserve"> within regulatory bodies and technical institutions.</w:t>
      </w:r>
    </w:p>
    <w:p w14:paraId="1E86C67D" w14:textId="77777777" w:rsidR="00133EFC" w:rsidRPr="00133EFC" w:rsidRDefault="00133EFC" w:rsidP="00B63AA4">
      <w:pPr>
        <w:numPr>
          <w:ilvl w:val="0"/>
          <w:numId w:val="67"/>
        </w:numPr>
        <w:spacing w:before="100" w:beforeAutospacing="1" w:after="100" w:afterAutospacing="1"/>
        <w:ind w:right="0"/>
        <w:rPr>
          <w:rFonts w:asciiTheme="minorHAnsi" w:hAnsiTheme="minorHAnsi"/>
          <w:lang w:val="en-AU" w:eastAsia="hr-HR"/>
        </w:rPr>
      </w:pPr>
      <w:r w:rsidRPr="00133EFC">
        <w:rPr>
          <w:rFonts w:asciiTheme="minorHAnsi" w:hAnsiTheme="minorHAnsi"/>
          <w:lang w:val="en-AU" w:eastAsia="hr-HR"/>
        </w:rPr>
        <w:t xml:space="preserve">Encouraging </w:t>
      </w:r>
      <w:r w:rsidRPr="00133EFC">
        <w:rPr>
          <w:rFonts w:asciiTheme="minorHAnsi" w:hAnsiTheme="minorHAnsi"/>
          <w:b/>
          <w:bCs/>
          <w:lang w:val="en-AU" w:eastAsia="hr-HR"/>
        </w:rPr>
        <w:t>public-private partnerships</w:t>
      </w:r>
      <w:r w:rsidRPr="00133EFC">
        <w:rPr>
          <w:rFonts w:asciiTheme="minorHAnsi" w:hAnsiTheme="minorHAnsi"/>
          <w:lang w:val="en-AU" w:eastAsia="hr-HR"/>
        </w:rPr>
        <w:t xml:space="preserve"> to accelerate investment and deployment.</w:t>
      </w:r>
    </w:p>
    <w:p w14:paraId="33795FA9" w14:textId="77777777" w:rsidR="00133EFC" w:rsidRPr="00133EFC" w:rsidRDefault="00133EFC" w:rsidP="00B63AA4">
      <w:pPr>
        <w:spacing w:before="100" w:beforeAutospacing="1" w:after="100" w:afterAutospacing="1"/>
        <w:ind w:left="0" w:right="0"/>
        <w:rPr>
          <w:rFonts w:asciiTheme="minorHAnsi" w:hAnsiTheme="minorHAnsi"/>
          <w:lang w:val="en-AU" w:eastAsia="hr-HR"/>
        </w:rPr>
      </w:pPr>
      <w:r w:rsidRPr="00133EFC">
        <w:rPr>
          <w:rFonts w:asciiTheme="minorHAnsi" w:hAnsiTheme="minorHAnsi"/>
          <w:lang w:val="en-AU" w:eastAsia="hr-HR"/>
        </w:rPr>
        <w:lastRenderedPageBreak/>
        <w:t>In the coming years, Croatia’s focus will be on consolidating the regulatory framework, enabling market access, and ensuring that hydrogen policy supports broader economic, industrial, and climate goals.</w:t>
      </w:r>
    </w:p>
    <w:p w14:paraId="553DFB89" w14:textId="77777777" w:rsidR="00133EFC" w:rsidRPr="00133EFC" w:rsidRDefault="00133EFC" w:rsidP="00B63AA4">
      <w:pPr>
        <w:spacing w:before="100" w:beforeAutospacing="1" w:after="100" w:afterAutospacing="1"/>
        <w:ind w:left="0" w:right="0"/>
        <w:rPr>
          <w:rFonts w:asciiTheme="minorHAnsi" w:hAnsiTheme="minorHAnsi"/>
          <w:lang w:val="en-AU" w:eastAsia="hr-HR"/>
        </w:rPr>
      </w:pPr>
      <w:r w:rsidRPr="00133EFC">
        <w:rPr>
          <w:rFonts w:asciiTheme="minorHAnsi" w:hAnsiTheme="minorHAnsi"/>
          <w:lang w:val="en-AU" w:eastAsia="hr-HR"/>
        </w:rPr>
        <w:t>Croatia’s institutional and regulatory framework for hydrogen is rapidly evolving to meet the challenges and opportunities of the energy transition. Anchored in EU legislation and national strategies, the framework establishes clear governance structures, harmonized technical standards, and financial incentives that collectively create a conducive environment for the development of a competitive hydrogen economy.</w:t>
      </w:r>
    </w:p>
    <w:p w14:paraId="45E799AD" w14:textId="77777777" w:rsidR="00133EFC" w:rsidRPr="00133EFC" w:rsidRDefault="00133EFC" w:rsidP="00B63AA4">
      <w:pPr>
        <w:spacing w:before="100" w:beforeAutospacing="1" w:after="100" w:afterAutospacing="1"/>
        <w:ind w:left="0" w:right="0"/>
        <w:rPr>
          <w:rFonts w:asciiTheme="minorHAnsi" w:hAnsiTheme="minorHAnsi"/>
          <w:lang w:val="en-AU" w:eastAsia="hr-HR"/>
        </w:rPr>
      </w:pPr>
      <w:r w:rsidRPr="00133EFC">
        <w:rPr>
          <w:rFonts w:asciiTheme="minorHAnsi" w:hAnsiTheme="minorHAnsi"/>
          <w:lang w:val="en-AU" w:eastAsia="hr-HR"/>
        </w:rPr>
        <w:t xml:space="preserve">Through continued alignment with EU policy, regional cooperation, and strategic investments, Croatia is poised to become a </w:t>
      </w:r>
      <w:r w:rsidRPr="00133EFC">
        <w:rPr>
          <w:rFonts w:asciiTheme="minorHAnsi" w:hAnsiTheme="minorHAnsi"/>
          <w:b/>
          <w:bCs/>
          <w:lang w:val="en-AU" w:eastAsia="hr-HR"/>
        </w:rPr>
        <w:t>reliable partner in Europe’s hydrogen ecosystem</w:t>
      </w:r>
      <w:r w:rsidRPr="00133EFC">
        <w:rPr>
          <w:rFonts w:asciiTheme="minorHAnsi" w:hAnsiTheme="minorHAnsi"/>
          <w:lang w:val="en-AU" w:eastAsia="hr-HR"/>
        </w:rPr>
        <w:t>, contributing both to energy security and the achievement of the Union’s climate neutrality objectives by 2050.</w:t>
      </w:r>
    </w:p>
    <w:p w14:paraId="447152F7" w14:textId="44A0C951" w:rsidR="00133EFC" w:rsidRPr="002E1301" w:rsidRDefault="0003194E" w:rsidP="002E1301">
      <w:pPr>
        <w:spacing w:before="0" w:line="240" w:lineRule="auto"/>
        <w:ind w:left="0" w:right="0"/>
        <w:jc w:val="left"/>
        <w:rPr>
          <w:rFonts w:ascii="Trebuchet MS" w:hAnsi="Trebuchet MS"/>
          <w:b/>
          <w:bCs/>
          <w:iCs/>
          <w:noProof/>
          <w:color w:val="90ABB1" w:themeColor="accent1"/>
          <w:spacing w:val="-10"/>
          <w:sz w:val="28"/>
          <w:szCs w:val="26"/>
          <w:lang w:val="hr-HR" w:eastAsia="de-AT"/>
        </w:rPr>
      </w:pPr>
      <w:r>
        <w:rPr>
          <w:lang w:val="hr-HR"/>
        </w:rPr>
        <w:br w:type="page"/>
      </w:r>
    </w:p>
    <w:p w14:paraId="246A3F13" w14:textId="1B88763C" w:rsidR="00F20312" w:rsidRPr="0003194E" w:rsidRDefault="00F20312" w:rsidP="003B41CF">
      <w:pPr>
        <w:pStyle w:val="CE-Headline2"/>
        <w:rPr>
          <w:lang w:val="en-AU"/>
        </w:rPr>
      </w:pPr>
      <w:bookmarkStart w:id="9" w:name="_Toc219232398"/>
      <w:r>
        <w:lastRenderedPageBreak/>
        <w:t>Guidelines for the regulatory framework</w:t>
      </w:r>
      <w:bookmarkEnd w:id="9"/>
    </w:p>
    <w:p w14:paraId="3FD69404" w14:textId="77777777" w:rsidR="0003194E" w:rsidRPr="0003194E" w:rsidRDefault="0003194E" w:rsidP="00B63AA4">
      <w:pPr>
        <w:spacing w:before="100" w:beforeAutospacing="1" w:after="100" w:afterAutospacing="1"/>
        <w:ind w:left="0" w:right="0"/>
        <w:rPr>
          <w:rFonts w:asciiTheme="minorHAnsi" w:hAnsiTheme="minorHAnsi"/>
          <w:lang w:val="en-AU" w:eastAsia="hr-HR"/>
        </w:rPr>
      </w:pPr>
      <w:r w:rsidRPr="0003194E">
        <w:rPr>
          <w:rFonts w:asciiTheme="minorHAnsi" w:hAnsiTheme="minorHAnsi"/>
          <w:lang w:val="en-AU" w:eastAsia="hr-HR"/>
        </w:rPr>
        <w:t>As Croatia accelerates its transition toward a low-carbon economy, a robust, transparent, and forward-looking regulatory framework for hydrogen is essential. The effective regulation of hydrogen across its value chain — production, transport, storage, distribution, and use — will determine the pace of market development and the country’s ability to participate competitively in the emerging European hydrogen economy.</w:t>
      </w:r>
    </w:p>
    <w:p w14:paraId="25F93AF7" w14:textId="0F829AE0" w:rsidR="0003194E" w:rsidRPr="0003194E" w:rsidRDefault="0003194E" w:rsidP="00B63AA4">
      <w:pPr>
        <w:spacing w:before="100" w:beforeAutospacing="1" w:after="100" w:afterAutospacing="1"/>
        <w:ind w:left="0" w:right="0"/>
        <w:rPr>
          <w:sz w:val="24"/>
          <w:szCs w:val="24"/>
          <w:lang w:val="hr-HR" w:eastAsia="hr-HR"/>
        </w:rPr>
      </w:pPr>
      <w:r w:rsidRPr="0003194E">
        <w:rPr>
          <w:rFonts w:asciiTheme="minorHAnsi" w:hAnsiTheme="minorHAnsi"/>
          <w:lang w:val="en-AU" w:eastAsia="hr-HR"/>
        </w:rPr>
        <w:t xml:space="preserve">This chapter provides </w:t>
      </w:r>
      <w:r w:rsidRPr="0003194E">
        <w:rPr>
          <w:rFonts w:asciiTheme="minorHAnsi" w:hAnsiTheme="minorHAnsi"/>
          <w:b/>
          <w:bCs/>
          <w:lang w:val="en-AU" w:eastAsia="hr-HR"/>
        </w:rPr>
        <w:t>guidelines and strategic recommendations</w:t>
      </w:r>
      <w:r w:rsidRPr="0003194E">
        <w:rPr>
          <w:rFonts w:asciiTheme="minorHAnsi" w:hAnsiTheme="minorHAnsi"/>
          <w:lang w:val="en-AU" w:eastAsia="hr-HR"/>
        </w:rPr>
        <w:t xml:space="preserve"> for strengthening Croatia’s regulatory framework for hydrogen. It aims to ensure full </w:t>
      </w:r>
      <w:r w:rsidRPr="0003194E">
        <w:rPr>
          <w:rFonts w:asciiTheme="minorHAnsi" w:hAnsiTheme="minorHAnsi"/>
          <w:b/>
          <w:bCs/>
          <w:lang w:val="en-AU" w:eastAsia="hr-HR"/>
        </w:rPr>
        <w:t>alignment with EU law</w:t>
      </w:r>
      <w:r w:rsidRPr="0003194E">
        <w:rPr>
          <w:rFonts w:asciiTheme="minorHAnsi" w:hAnsiTheme="minorHAnsi"/>
          <w:lang w:val="en-AU" w:eastAsia="hr-HR"/>
        </w:rPr>
        <w:t xml:space="preserve">, </w:t>
      </w:r>
      <w:r w:rsidRPr="0003194E">
        <w:rPr>
          <w:rFonts w:asciiTheme="minorHAnsi" w:hAnsiTheme="minorHAnsi"/>
          <w:b/>
          <w:bCs/>
          <w:lang w:val="en-AU" w:eastAsia="hr-HR"/>
        </w:rPr>
        <w:t>support cross-border cooperation</w:t>
      </w:r>
      <w:r w:rsidRPr="0003194E">
        <w:rPr>
          <w:rFonts w:asciiTheme="minorHAnsi" w:hAnsiTheme="minorHAnsi"/>
          <w:lang w:val="en-AU" w:eastAsia="hr-HR"/>
        </w:rPr>
        <w:t xml:space="preserve">, and </w:t>
      </w:r>
      <w:r w:rsidRPr="0003194E">
        <w:rPr>
          <w:rFonts w:asciiTheme="minorHAnsi" w:hAnsiTheme="minorHAnsi"/>
          <w:b/>
          <w:bCs/>
          <w:lang w:val="en-AU" w:eastAsia="hr-HR"/>
        </w:rPr>
        <w:t>facilitate investment</w:t>
      </w:r>
      <w:r w:rsidRPr="0003194E">
        <w:rPr>
          <w:rFonts w:asciiTheme="minorHAnsi" w:hAnsiTheme="minorHAnsi"/>
          <w:lang w:val="en-AU" w:eastAsia="hr-HR"/>
        </w:rPr>
        <w:t xml:space="preserve"> under interregional hydrogen initiatives, particularly those co-financed through </w:t>
      </w:r>
      <w:r w:rsidRPr="0003194E">
        <w:rPr>
          <w:rFonts w:asciiTheme="minorHAnsi" w:hAnsiTheme="minorHAnsi"/>
          <w:b/>
          <w:bCs/>
          <w:lang w:val="en-AU" w:eastAsia="hr-HR"/>
        </w:rPr>
        <w:t>EU programs and transnational partnerships</w:t>
      </w:r>
      <w:r w:rsidRPr="0003194E">
        <w:rPr>
          <w:rFonts w:asciiTheme="minorHAnsi" w:hAnsiTheme="minorHAnsi"/>
          <w:lang w:val="en-AU" w:eastAsia="hr-HR"/>
        </w:rPr>
        <w:t xml:space="preserve"> (e.g. INTERREG, IPCEI Hydrogen, CEF Energy, Horizon Europe</w:t>
      </w:r>
      <w:r w:rsidR="0047368D">
        <w:rPr>
          <w:rFonts w:asciiTheme="minorHAnsi" w:hAnsiTheme="minorHAnsi"/>
          <w:lang w:val="en-AU" w:eastAsia="hr-HR"/>
        </w:rPr>
        <w:t>, Clean Hydrogen Partnership</w:t>
      </w:r>
      <w:r w:rsidRPr="0003194E">
        <w:rPr>
          <w:rFonts w:asciiTheme="minorHAnsi" w:hAnsiTheme="minorHAnsi"/>
          <w:lang w:val="en-AU" w:eastAsia="hr-HR"/>
        </w:rPr>
        <w:t>).</w:t>
      </w:r>
    </w:p>
    <w:p w14:paraId="7FAA41FF" w14:textId="77777777" w:rsidR="0003194E" w:rsidRPr="0003194E" w:rsidRDefault="0003194E" w:rsidP="00B63AA4">
      <w:pPr>
        <w:spacing w:before="100" w:beforeAutospacing="1" w:after="100" w:afterAutospacing="1"/>
        <w:ind w:left="0" w:right="0"/>
        <w:jc w:val="left"/>
        <w:rPr>
          <w:rFonts w:asciiTheme="minorHAnsi" w:hAnsiTheme="minorHAnsi"/>
          <w:lang w:val="en-AU" w:eastAsia="hr-HR"/>
        </w:rPr>
      </w:pPr>
      <w:r w:rsidRPr="0003194E">
        <w:rPr>
          <w:rFonts w:asciiTheme="minorHAnsi" w:hAnsiTheme="minorHAnsi"/>
          <w:lang w:val="en-AU" w:eastAsia="hr-HR"/>
        </w:rPr>
        <w:t>To establish a sustainable and integrated hydrogen ecosystem, Croatia’s regulatory framework should be built upon the following foundational principles:</w:t>
      </w:r>
    </w:p>
    <w:p w14:paraId="41B2D916" w14:textId="6DF845CA" w:rsidR="0003194E" w:rsidRPr="0003194E" w:rsidRDefault="0003194E" w:rsidP="00B63AA4">
      <w:pPr>
        <w:numPr>
          <w:ilvl w:val="0"/>
          <w:numId w:val="68"/>
        </w:numPr>
        <w:spacing w:before="100" w:beforeAutospacing="1" w:after="100" w:afterAutospacing="1"/>
        <w:ind w:right="0"/>
        <w:jc w:val="left"/>
        <w:rPr>
          <w:rFonts w:asciiTheme="minorHAnsi" w:hAnsiTheme="minorHAnsi"/>
          <w:lang w:val="en-AU" w:eastAsia="hr-HR"/>
        </w:rPr>
      </w:pPr>
      <w:r w:rsidRPr="0003194E">
        <w:rPr>
          <w:rFonts w:asciiTheme="minorHAnsi" w:hAnsiTheme="minorHAnsi"/>
          <w:b/>
          <w:bCs/>
          <w:lang w:val="en-AU" w:eastAsia="hr-HR"/>
        </w:rPr>
        <w:t xml:space="preserve">Legal </w:t>
      </w:r>
      <w:r w:rsidR="00400683" w:rsidRPr="00400683">
        <w:rPr>
          <w:rFonts w:asciiTheme="minorHAnsi" w:hAnsiTheme="minorHAnsi"/>
          <w:b/>
          <w:bCs/>
          <w:lang w:val="en-AU" w:eastAsia="hr-HR"/>
        </w:rPr>
        <w:t>c</w:t>
      </w:r>
      <w:r w:rsidRPr="0003194E">
        <w:rPr>
          <w:rFonts w:asciiTheme="minorHAnsi" w:hAnsiTheme="minorHAnsi"/>
          <w:b/>
          <w:bCs/>
          <w:lang w:val="en-AU" w:eastAsia="hr-HR"/>
        </w:rPr>
        <w:t xml:space="preserve">ertainty and </w:t>
      </w:r>
      <w:r w:rsidR="00400683" w:rsidRPr="00400683">
        <w:rPr>
          <w:rFonts w:asciiTheme="minorHAnsi" w:hAnsiTheme="minorHAnsi"/>
          <w:b/>
          <w:bCs/>
          <w:lang w:val="en-AU" w:eastAsia="hr-HR"/>
        </w:rPr>
        <w:t>p</w:t>
      </w:r>
      <w:r w:rsidRPr="0003194E">
        <w:rPr>
          <w:rFonts w:asciiTheme="minorHAnsi" w:hAnsiTheme="minorHAnsi"/>
          <w:b/>
          <w:bCs/>
          <w:lang w:val="en-AU" w:eastAsia="hr-HR"/>
        </w:rPr>
        <w:t>redictability</w:t>
      </w:r>
      <w:r w:rsidRPr="0003194E">
        <w:rPr>
          <w:rFonts w:asciiTheme="minorHAnsi" w:hAnsiTheme="minorHAnsi"/>
          <w:lang w:val="en-AU" w:eastAsia="hr-HR"/>
        </w:rPr>
        <w:t xml:space="preserve"> – Investors and operators require clear, stable, and transparent rules governing hydrogen production, certification, and network access.</w:t>
      </w:r>
    </w:p>
    <w:p w14:paraId="053EE7CE" w14:textId="009FF0C8" w:rsidR="0003194E" w:rsidRPr="0003194E" w:rsidRDefault="0003194E" w:rsidP="00B63AA4">
      <w:pPr>
        <w:numPr>
          <w:ilvl w:val="0"/>
          <w:numId w:val="68"/>
        </w:numPr>
        <w:spacing w:before="100" w:beforeAutospacing="1" w:after="100" w:afterAutospacing="1"/>
        <w:ind w:right="0"/>
        <w:jc w:val="left"/>
        <w:rPr>
          <w:rFonts w:asciiTheme="minorHAnsi" w:hAnsiTheme="minorHAnsi"/>
          <w:lang w:val="en-AU" w:eastAsia="hr-HR"/>
        </w:rPr>
      </w:pPr>
      <w:r w:rsidRPr="0003194E">
        <w:rPr>
          <w:rFonts w:asciiTheme="minorHAnsi" w:hAnsiTheme="minorHAnsi"/>
          <w:b/>
          <w:bCs/>
          <w:lang w:val="en-AU" w:eastAsia="hr-HR"/>
        </w:rPr>
        <w:t xml:space="preserve">Market </w:t>
      </w:r>
      <w:r w:rsidR="00400683" w:rsidRPr="00400683">
        <w:rPr>
          <w:rFonts w:asciiTheme="minorHAnsi" w:hAnsiTheme="minorHAnsi"/>
          <w:b/>
          <w:bCs/>
          <w:lang w:val="en-AU" w:eastAsia="hr-HR"/>
        </w:rPr>
        <w:t>i</w:t>
      </w:r>
      <w:r w:rsidRPr="0003194E">
        <w:rPr>
          <w:rFonts w:asciiTheme="minorHAnsi" w:hAnsiTheme="minorHAnsi"/>
          <w:b/>
          <w:bCs/>
          <w:lang w:val="en-AU" w:eastAsia="hr-HR"/>
        </w:rPr>
        <w:t>ntegration</w:t>
      </w:r>
      <w:r w:rsidRPr="0003194E">
        <w:rPr>
          <w:rFonts w:asciiTheme="minorHAnsi" w:hAnsiTheme="minorHAnsi"/>
          <w:lang w:val="en-AU" w:eastAsia="hr-HR"/>
        </w:rPr>
        <w:t xml:space="preserve"> – Hydrogen must be regulated as part of the broader energy system, ensuring interoperability between electricity, gas, and hydrogen networks.</w:t>
      </w:r>
    </w:p>
    <w:p w14:paraId="594F6FE6" w14:textId="71E929FF" w:rsidR="0003194E" w:rsidRPr="0003194E" w:rsidRDefault="0003194E" w:rsidP="00B63AA4">
      <w:pPr>
        <w:numPr>
          <w:ilvl w:val="0"/>
          <w:numId w:val="68"/>
        </w:numPr>
        <w:spacing w:before="100" w:beforeAutospacing="1" w:after="100" w:afterAutospacing="1"/>
        <w:ind w:right="0"/>
        <w:jc w:val="left"/>
        <w:rPr>
          <w:rFonts w:asciiTheme="minorHAnsi" w:hAnsiTheme="minorHAnsi"/>
          <w:lang w:val="en-AU" w:eastAsia="hr-HR"/>
        </w:rPr>
      </w:pPr>
      <w:r w:rsidRPr="0003194E">
        <w:rPr>
          <w:rFonts w:asciiTheme="minorHAnsi" w:hAnsiTheme="minorHAnsi"/>
          <w:b/>
          <w:bCs/>
          <w:lang w:val="en-AU" w:eastAsia="hr-HR"/>
        </w:rPr>
        <w:t xml:space="preserve">Sustainability and </w:t>
      </w:r>
      <w:r w:rsidR="00400683" w:rsidRPr="00400683">
        <w:rPr>
          <w:rFonts w:asciiTheme="minorHAnsi" w:hAnsiTheme="minorHAnsi"/>
          <w:b/>
          <w:bCs/>
          <w:lang w:val="en-AU" w:eastAsia="hr-HR"/>
        </w:rPr>
        <w:t>t</w:t>
      </w:r>
      <w:r w:rsidRPr="0003194E">
        <w:rPr>
          <w:rFonts w:asciiTheme="minorHAnsi" w:hAnsiTheme="minorHAnsi"/>
          <w:b/>
          <w:bCs/>
          <w:lang w:val="en-AU" w:eastAsia="hr-HR"/>
        </w:rPr>
        <w:t>raceability</w:t>
      </w:r>
      <w:r w:rsidRPr="0003194E">
        <w:rPr>
          <w:rFonts w:asciiTheme="minorHAnsi" w:hAnsiTheme="minorHAnsi"/>
          <w:lang w:val="en-AU" w:eastAsia="hr-HR"/>
        </w:rPr>
        <w:t xml:space="preserve"> – Regulations must guarantee that renewable hydrogen meets EU-defined sustainability and greenhouse gas reduction criteria.</w:t>
      </w:r>
    </w:p>
    <w:p w14:paraId="5784AEE2" w14:textId="3AFAF5D0" w:rsidR="0003194E" w:rsidRPr="0003194E" w:rsidRDefault="0003194E" w:rsidP="00B63AA4">
      <w:pPr>
        <w:numPr>
          <w:ilvl w:val="0"/>
          <w:numId w:val="68"/>
        </w:numPr>
        <w:spacing w:before="100" w:beforeAutospacing="1" w:after="100" w:afterAutospacing="1"/>
        <w:ind w:right="0"/>
        <w:jc w:val="left"/>
        <w:rPr>
          <w:rFonts w:asciiTheme="minorHAnsi" w:hAnsiTheme="minorHAnsi"/>
          <w:lang w:val="en-AU" w:eastAsia="hr-HR"/>
        </w:rPr>
      </w:pPr>
      <w:r w:rsidRPr="0003194E">
        <w:rPr>
          <w:rFonts w:asciiTheme="minorHAnsi" w:hAnsiTheme="minorHAnsi"/>
          <w:b/>
          <w:bCs/>
          <w:lang w:val="en-AU" w:eastAsia="hr-HR"/>
        </w:rPr>
        <w:t xml:space="preserve">Technology </w:t>
      </w:r>
      <w:r w:rsidR="00400683" w:rsidRPr="00400683">
        <w:rPr>
          <w:rFonts w:asciiTheme="minorHAnsi" w:hAnsiTheme="minorHAnsi"/>
          <w:b/>
          <w:bCs/>
          <w:lang w:val="en-AU" w:eastAsia="hr-HR"/>
        </w:rPr>
        <w:t>n</w:t>
      </w:r>
      <w:r w:rsidRPr="0003194E">
        <w:rPr>
          <w:rFonts w:asciiTheme="minorHAnsi" w:hAnsiTheme="minorHAnsi"/>
          <w:b/>
          <w:bCs/>
          <w:lang w:val="en-AU" w:eastAsia="hr-HR"/>
        </w:rPr>
        <w:t xml:space="preserve">eutrality with </w:t>
      </w:r>
      <w:r w:rsidR="00400683" w:rsidRPr="00400683">
        <w:rPr>
          <w:rFonts w:asciiTheme="minorHAnsi" w:hAnsiTheme="minorHAnsi"/>
          <w:b/>
          <w:bCs/>
          <w:lang w:val="en-AU" w:eastAsia="hr-HR"/>
        </w:rPr>
        <w:t>g</w:t>
      </w:r>
      <w:r w:rsidRPr="0003194E">
        <w:rPr>
          <w:rFonts w:asciiTheme="minorHAnsi" w:hAnsiTheme="minorHAnsi"/>
          <w:b/>
          <w:bCs/>
          <w:lang w:val="en-AU" w:eastAsia="hr-HR"/>
        </w:rPr>
        <w:t xml:space="preserve">reen </w:t>
      </w:r>
      <w:r w:rsidR="00400683" w:rsidRPr="00400683">
        <w:rPr>
          <w:rFonts w:asciiTheme="minorHAnsi" w:hAnsiTheme="minorHAnsi"/>
          <w:b/>
          <w:bCs/>
          <w:lang w:val="en-AU" w:eastAsia="hr-HR"/>
        </w:rPr>
        <w:t>p</w:t>
      </w:r>
      <w:r w:rsidRPr="0003194E">
        <w:rPr>
          <w:rFonts w:asciiTheme="minorHAnsi" w:hAnsiTheme="minorHAnsi"/>
          <w:b/>
          <w:bCs/>
          <w:lang w:val="en-AU" w:eastAsia="hr-HR"/>
        </w:rPr>
        <w:t>riority</w:t>
      </w:r>
      <w:r w:rsidRPr="0003194E">
        <w:rPr>
          <w:rFonts w:asciiTheme="minorHAnsi" w:hAnsiTheme="minorHAnsi"/>
          <w:lang w:val="en-AU" w:eastAsia="hr-HR"/>
        </w:rPr>
        <w:t xml:space="preserve"> – The framework should support a range of low-carbon technologies while prioritizing renewable hydrogen consistent with Croatia’s decarbonization goals.</w:t>
      </w:r>
    </w:p>
    <w:p w14:paraId="1835F643" w14:textId="6364935B" w:rsidR="0003194E" w:rsidRPr="0003194E" w:rsidRDefault="0003194E" w:rsidP="00B63AA4">
      <w:pPr>
        <w:numPr>
          <w:ilvl w:val="0"/>
          <w:numId w:val="68"/>
        </w:numPr>
        <w:spacing w:before="100" w:beforeAutospacing="1" w:after="100" w:afterAutospacing="1"/>
        <w:ind w:right="0"/>
        <w:jc w:val="left"/>
        <w:rPr>
          <w:rFonts w:asciiTheme="minorHAnsi" w:hAnsiTheme="minorHAnsi"/>
          <w:lang w:val="en-AU" w:eastAsia="hr-HR"/>
        </w:rPr>
      </w:pPr>
      <w:r w:rsidRPr="0003194E">
        <w:rPr>
          <w:rFonts w:asciiTheme="minorHAnsi" w:hAnsiTheme="minorHAnsi"/>
          <w:b/>
          <w:bCs/>
          <w:lang w:val="en-AU" w:eastAsia="hr-HR"/>
        </w:rPr>
        <w:t xml:space="preserve">Regional </w:t>
      </w:r>
      <w:r w:rsidR="00400683" w:rsidRPr="00400683">
        <w:rPr>
          <w:rFonts w:asciiTheme="minorHAnsi" w:hAnsiTheme="minorHAnsi"/>
          <w:b/>
          <w:bCs/>
          <w:lang w:val="en-AU" w:eastAsia="hr-HR"/>
        </w:rPr>
        <w:t>c</w:t>
      </w:r>
      <w:r w:rsidRPr="0003194E">
        <w:rPr>
          <w:rFonts w:asciiTheme="minorHAnsi" w:hAnsiTheme="minorHAnsi"/>
          <w:b/>
          <w:bCs/>
          <w:lang w:val="en-AU" w:eastAsia="hr-HR"/>
        </w:rPr>
        <w:t>ooperation</w:t>
      </w:r>
      <w:r w:rsidRPr="0003194E">
        <w:rPr>
          <w:rFonts w:asciiTheme="minorHAnsi" w:hAnsiTheme="minorHAnsi"/>
          <w:lang w:val="en-AU" w:eastAsia="hr-HR"/>
        </w:rPr>
        <w:t xml:space="preserve"> – Harmonization with neighboring countries is essential for infrastructure planning, cross-border trade, and market coupling.</w:t>
      </w:r>
    </w:p>
    <w:p w14:paraId="693519DE" w14:textId="4979E673" w:rsidR="0003194E" w:rsidRPr="0003194E" w:rsidRDefault="0003194E" w:rsidP="00B63AA4">
      <w:pPr>
        <w:numPr>
          <w:ilvl w:val="0"/>
          <w:numId w:val="68"/>
        </w:numPr>
        <w:spacing w:before="100" w:beforeAutospacing="1" w:after="100" w:afterAutospacing="1"/>
        <w:ind w:right="0"/>
        <w:jc w:val="left"/>
        <w:rPr>
          <w:rFonts w:asciiTheme="minorHAnsi" w:hAnsiTheme="minorHAnsi"/>
          <w:lang w:val="en-AU" w:eastAsia="hr-HR"/>
        </w:rPr>
      </w:pPr>
      <w:r w:rsidRPr="0003194E">
        <w:rPr>
          <w:rFonts w:asciiTheme="minorHAnsi" w:hAnsiTheme="minorHAnsi"/>
          <w:b/>
          <w:bCs/>
          <w:lang w:val="en-AU" w:eastAsia="hr-HR"/>
        </w:rPr>
        <w:t xml:space="preserve">Safety and </w:t>
      </w:r>
      <w:r w:rsidR="00400683" w:rsidRPr="00400683">
        <w:rPr>
          <w:rFonts w:asciiTheme="minorHAnsi" w:hAnsiTheme="minorHAnsi"/>
          <w:b/>
          <w:bCs/>
          <w:lang w:val="en-AU" w:eastAsia="hr-HR"/>
        </w:rPr>
        <w:t>p</w:t>
      </w:r>
      <w:r w:rsidRPr="0003194E">
        <w:rPr>
          <w:rFonts w:asciiTheme="minorHAnsi" w:hAnsiTheme="minorHAnsi"/>
          <w:b/>
          <w:bCs/>
          <w:lang w:val="en-AU" w:eastAsia="hr-HR"/>
        </w:rPr>
        <w:t xml:space="preserve">ublic </w:t>
      </w:r>
      <w:r w:rsidR="00400683" w:rsidRPr="00400683">
        <w:rPr>
          <w:rFonts w:asciiTheme="minorHAnsi" w:hAnsiTheme="minorHAnsi"/>
          <w:b/>
          <w:bCs/>
          <w:lang w:val="en-AU" w:eastAsia="hr-HR"/>
        </w:rPr>
        <w:t>c</w:t>
      </w:r>
      <w:r w:rsidRPr="0003194E">
        <w:rPr>
          <w:rFonts w:asciiTheme="minorHAnsi" w:hAnsiTheme="minorHAnsi"/>
          <w:b/>
          <w:bCs/>
          <w:lang w:val="en-AU" w:eastAsia="hr-HR"/>
        </w:rPr>
        <w:t>onfidence</w:t>
      </w:r>
      <w:r w:rsidRPr="0003194E">
        <w:rPr>
          <w:rFonts w:asciiTheme="minorHAnsi" w:hAnsiTheme="minorHAnsi"/>
          <w:lang w:val="en-AU" w:eastAsia="hr-HR"/>
        </w:rPr>
        <w:t xml:space="preserve"> – Safety standards, public awareness, and acceptance mechanisms must accompany all regulatory steps.</w:t>
      </w:r>
    </w:p>
    <w:p w14:paraId="4574E969" w14:textId="77777777" w:rsidR="0003194E" w:rsidRPr="0003194E" w:rsidRDefault="0003194E" w:rsidP="00B63AA4">
      <w:pPr>
        <w:spacing w:before="100" w:beforeAutospacing="1" w:after="100" w:afterAutospacing="1"/>
        <w:ind w:left="0" w:right="0"/>
        <w:jc w:val="left"/>
        <w:rPr>
          <w:rFonts w:asciiTheme="minorHAnsi" w:hAnsiTheme="minorHAnsi"/>
          <w:lang w:val="en-AU" w:eastAsia="hr-HR"/>
        </w:rPr>
      </w:pPr>
      <w:r w:rsidRPr="0003194E">
        <w:rPr>
          <w:rFonts w:asciiTheme="minorHAnsi" w:hAnsiTheme="minorHAnsi"/>
          <w:lang w:val="en-AU" w:eastAsia="hr-HR"/>
        </w:rPr>
        <w:t xml:space="preserve">Although Croatia has adopted the </w:t>
      </w:r>
      <w:r w:rsidRPr="0003194E">
        <w:rPr>
          <w:rFonts w:asciiTheme="minorHAnsi" w:hAnsiTheme="minorHAnsi"/>
          <w:b/>
          <w:bCs/>
          <w:lang w:val="en-AU" w:eastAsia="hr-HR"/>
        </w:rPr>
        <w:t>Hydrogen Strategy until 2050</w:t>
      </w:r>
      <w:r w:rsidRPr="0003194E">
        <w:rPr>
          <w:rFonts w:asciiTheme="minorHAnsi" w:hAnsiTheme="minorHAnsi"/>
          <w:lang w:val="en-AU" w:eastAsia="hr-HR"/>
        </w:rPr>
        <w:t xml:space="preserve"> and incorporated hydrogen in its </w:t>
      </w:r>
      <w:r w:rsidRPr="0003194E">
        <w:rPr>
          <w:rFonts w:asciiTheme="minorHAnsi" w:hAnsiTheme="minorHAnsi"/>
          <w:b/>
          <w:bCs/>
          <w:lang w:val="en-AU" w:eastAsia="hr-HR"/>
        </w:rPr>
        <w:t>National Energy and Climate Plan (NECP)</w:t>
      </w:r>
      <w:r w:rsidRPr="0003194E">
        <w:rPr>
          <w:rFonts w:asciiTheme="minorHAnsi" w:hAnsiTheme="minorHAnsi"/>
          <w:lang w:val="en-AU" w:eastAsia="hr-HR"/>
        </w:rPr>
        <w:t xml:space="preserve">, the legislative framework remains </w:t>
      </w:r>
      <w:r w:rsidRPr="0003194E">
        <w:rPr>
          <w:rFonts w:asciiTheme="minorHAnsi" w:hAnsiTheme="minorHAnsi"/>
          <w:b/>
          <w:bCs/>
          <w:lang w:val="en-AU" w:eastAsia="hr-HR"/>
        </w:rPr>
        <w:t>in its formative stage</w:t>
      </w:r>
      <w:r w:rsidRPr="0003194E">
        <w:rPr>
          <w:rFonts w:asciiTheme="minorHAnsi" w:hAnsiTheme="minorHAnsi"/>
          <w:lang w:val="en-AU" w:eastAsia="hr-HR"/>
        </w:rPr>
        <w:t>. Key gaps include:</w:t>
      </w:r>
    </w:p>
    <w:p w14:paraId="312B3BBC" w14:textId="77777777" w:rsidR="0003194E" w:rsidRPr="0003194E" w:rsidRDefault="0003194E" w:rsidP="00B63AA4">
      <w:pPr>
        <w:numPr>
          <w:ilvl w:val="0"/>
          <w:numId w:val="69"/>
        </w:numPr>
        <w:spacing w:before="100" w:beforeAutospacing="1" w:after="100" w:afterAutospacing="1"/>
        <w:ind w:right="0"/>
        <w:jc w:val="left"/>
        <w:rPr>
          <w:rFonts w:asciiTheme="minorHAnsi" w:hAnsiTheme="minorHAnsi"/>
          <w:lang w:val="en-AU" w:eastAsia="hr-HR"/>
        </w:rPr>
      </w:pPr>
      <w:r w:rsidRPr="0003194E">
        <w:rPr>
          <w:rFonts w:asciiTheme="minorHAnsi" w:hAnsiTheme="minorHAnsi"/>
          <w:lang w:val="en-AU" w:eastAsia="hr-HR"/>
        </w:rPr>
        <w:t xml:space="preserve">Absence of a </w:t>
      </w:r>
      <w:r w:rsidRPr="0003194E">
        <w:rPr>
          <w:rFonts w:asciiTheme="minorHAnsi" w:hAnsiTheme="minorHAnsi"/>
          <w:b/>
          <w:bCs/>
          <w:lang w:val="en-AU" w:eastAsia="hr-HR"/>
        </w:rPr>
        <w:t>dedicated Hydrogen Act</w:t>
      </w:r>
      <w:r w:rsidRPr="0003194E">
        <w:rPr>
          <w:rFonts w:asciiTheme="minorHAnsi" w:hAnsiTheme="minorHAnsi"/>
          <w:lang w:val="en-AU" w:eastAsia="hr-HR"/>
        </w:rPr>
        <w:t xml:space="preserve"> defining market rules, licensing, and grid integration.</w:t>
      </w:r>
    </w:p>
    <w:p w14:paraId="629F65EC" w14:textId="77777777" w:rsidR="0003194E" w:rsidRPr="0003194E" w:rsidRDefault="0003194E" w:rsidP="00B63AA4">
      <w:pPr>
        <w:numPr>
          <w:ilvl w:val="0"/>
          <w:numId w:val="69"/>
        </w:numPr>
        <w:spacing w:before="100" w:beforeAutospacing="1" w:after="100" w:afterAutospacing="1"/>
        <w:ind w:right="0"/>
        <w:jc w:val="left"/>
        <w:rPr>
          <w:rFonts w:asciiTheme="minorHAnsi" w:hAnsiTheme="minorHAnsi"/>
          <w:lang w:val="en-AU" w:eastAsia="hr-HR"/>
        </w:rPr>
      </w:pPr>
      <w:r w:rsidRPr="0003194E">
        <w:rPr>
          <w:rFonts w:asciiTheme="minorHAnsi" w:hAnsiTheme="minorHAnsi"/>
          <w:lang w:val="en-AU" w:eastAsia="hr-HR"/>
        </w:rPr>
        <w:t xml:space="preserve">Lack of </w:t>
      </w:r>
      <w:r w:rsidRPr="0003194E">
        <w:rPr>
          <w:rFonts w:asciiTheme="minorHAnsi" w:hAnsiTheme="minorHAnsi"/>
          <w:b/>
          <w:bCs/>
          <w:lang w:val="en-AU" w:eastAsia="hr-HR"/>
        </w:rPr>
        <w:t>comprehensive certification and guarantees of origin (GoO)</w:t>
      </w:r>
      <w:r w:rsidRPr="0003194E">
        <w:rPr>
          <w:rFonts w:asciiTheme="minorHAnsi" w:hAnsiTheme="minorHAnsi"/>
          <w:lang w:val="en-AU" w:eastAsia="hr-HR"/>
        </w:rPr>
        <w:t xml:space="preserve"> system aligned with EU Delegated Acts (2023/2400 and 2023/1184).</w:t>
      </w:r>
    </w:p>
    <w:p w14:paraId="18160BA5" w14:textId="77777777" w:rsidR="0003194E" w:rsidRPr="0003194E" w:rsidRDefault="0003194E" w:rsidP="00B63AA4">
      <w:pPr>
        <w:numPr>
          <w:ilvl w:val="0"/>
          <w:numId w:val="69"/>
        </w:numPr>
        <w:spacing w:before="100" w:beforeAutospacing="1" w:after="100" w:afterAutospacing="1"/>
        <w:ind w:right="0"/>
        <w:jc w:val="left"/>
        <w:rPr>
          <w:rFonts w:asciiTheme="minorHAnsi" w:hAnsiTheme="minorHAnsi"/>
          <w:lang w:val="en-AU" w:eastAsia="hr-HR"/>
        </w:rPr>
      </w:pPr>
      <w:r w:rsidRPr="0003194E">
        <w:rPr>
          <w:rFonts w:asciiTheme="minorHAnsi" w:hAnsiTheme="minorHAnsi"/>
          <w:lang w:val="en-AU" w:eastAsia="hr-HR"/>
        </w:rPr>
        <w:t xml:space="preserve">Limited regulatory clarity regarding </w:t>
      </w:r>
      <w:r w:rsidRPr="0003194E">
        <w:rPr>
          <w:rFonts w:asciiTheme="minorHAnsi" w:hAnsiTheme="minorHAnsi"/>
          <w:b/>
          <w:bCs/>
          <w:lang w:val="en-AU" w:eastAsia="hr-HR"/>
        </w:rPr>
        <w:t>hydrogen blending</w:t>
      </w:r>
      <w:r w:rsidRPr="0003194E">
        <w:rPr>
          <w:rFonts w:asciiTheme="minorHAnsi" w:hAnsiTheme="minorHAnsi"/>
          <w:lang w:val="en-AU" w:eastAsia="hr-HR"/>
        </w:rPr>
        <w:t xml:space="preserve">, </w:t>
      </w:r>
      <w:r w:rsidRPr="0003194E">
        <w:rPr>
          <w:rFonts w:asciiTheme="minorHAnsi" w:hAnsiTheme="minorHAnsi"/>
          <w:b/>
          <w:bCs/>
          <w:lang w:val="en-AU" w:eastAsia="hr-HR"/>
        </w:rPr>
        <w:t>transport tariffs</w:t>
      </w:r>
      <w:r w:rsidRPr="0003194E">
        <w:rPr>
          <w:rFonts w:asciiTheme="minorHAnsi" w:hAnsiTheme="minorHAnsi"/>
          <w:lang w:val="en-AU" w:eastAsia="hr-HR"/>
        </w:rPr>
        <w:t xml:space="preserve">, and </w:t>
      </w:r>
      <w:r w:rsidRPr="0003194E">
        <w:rPr>
          <w:rFonts w:asciiTheme="minorHAnsi" w:hAnsiTheme="minorHAnsi"/>
          <w:b/>
          <w:bCs/>
          <w:lang w:val="en-AU" w:eastAsia="hr-HR"/>
        </w:rPr>
        <w:t>storage access</w:t>
      </w:r>
      <w:r w:rsidRPr="0003194E">
        <w:rPr>
          <w:rFonts w:asciiTheme="minorHAnsi" w:hAnsiTheme="minorHAnsi"/>
          <w:lang w:val="en-AU" w:eastAsia="hr-HR"/>
        </w:rPr>
        <w:t>.</w:t>
      </w:r>
    </w:p>
    <w:p w14:paraId="20C9648D" w14:textId="77777777" w:rsidR="0003194E" w:rsidRPr="0003194E" w:rsidRDefault="0003194E" w:rsidP="00B63AA4">
      <w:pPr>
        <w:numPr>
          <w:ilvl w:val="0"/>
          <w:numId w:val="69"/>
        </w:numPr>
        <w:spacing w:before="100" w:beforeAutospacing="1" w:after="100" w:afterAutospacing="1"/>
        <w:ind w:right="0"/>
        <w:jc w:val="left"/>
        <w:rPr>
          <w:rFonts w:asciiTheme="minorHAnsi" w:hAnsiTheme="minorHAnsi"/>
          <w:lang w:val="en-AU" w:eastAsia="hr-HR"/>
        </w:rPr>
      </w:pPr>
      <w:r w:rsidRPr="0003194E">
        <w:rPr>
          <w:rFonts w:asciiTheme="minorHAnsi" w:hAnsiTheme="minorHAnsi"/>
          <w:lang w:val="en-AU" w:eastAsia="hr-HR"/>
        </w:rPr>
        <w:t xml:space="preserve">Need for </w:t>
      </w:r>
      <w:r w:rsidRPr="0003194E">
        <w:rPr>
          <w:rFonts w:asciiTheme="minorHAnsi" w:hAnsiTheme="minorHAnsi"/>
          <w:b/>
          <w:bCs/>
          <w:lang w:val="en-AU" w:eastAsia="hr-HR"/>
        </w:rPr>
        <w:t>standardized permitting procedures</w:t>
      </w:r>
      <w:r w:rsidRPr="0003194E">
        <w:rPr>
          <w:rFonts w:asciiTheme="minorHAnsi" w:hAnsiTheme="minorHAnsi"/>
          <w:lang w:val="en-AU" w:eastAsia="hr-HR"/>
        </w:rPr>
        <w:t xml:space="preserve"> for hydrogen projects and facilities.</w:t>
      </w:r>
    </w:p>
    <w:p w14:paraId="6923441F" w14:textId="77777777" w:rsidR="0003194E" w:rsidRPr="0003194E" w:rsidRDefault="0003194E" w:rsidP="00B63AA4">
      <w:pPr>
        <w:numPr>
          <w:ilvl w:val="0"/>
          <w:numId w:val="69"/>
        </w:numPr>
        <w:spacing w:before="100" w:beforeAutospacing="1" w:after="100" w:afterAutospacing="1"/>
        <w:ind w:right="0"/>
        <w:jc w:val="left"/>
        <w:rPr>
          <w:rFonts w:asciiTheme="minorHAnsi" w:hAnsiTheme="minorHAnsi"/>
          <w:lang w:val="en-AU" w:eastAsia="hr-HR"/>
        </w:rPr>
      </w:pPr>
      <w:r w:rsidRPr="0003194E">
        <w:rPr>
          <w:rFonts w:asciiTheme="minorHAnsi" w:hAnsiTheme="minorHAnsi"/>
          <w:lang w:val="en-AU" w:eastAsia="hr-HR"/>
        </w:rPr>
        <w:t xml:space="preserve">Insufficient provisions for </w:t>
      </w:r>
      <w:r w:rsidRPr="0003194E">
        <w:rPr>
          <w:rFonts w:asciiTheme="minorHAnsi" w:hAnsiTheme="minorHAnsi"/>
          <w:b/>
          <w:bCs/>
          <w:lang w:val="en-AU" w:eastAsia="hr-HR"/>
        </w:rPr>
        <w:t>cross-border hydrogen trade and interconnection</w:t>
      </w:r>
      <w:r w:rsidRPr="0003194E">
        <w:rPr>
          <w:rFonts w:asciiTheme="minorHAnsi" w:hAnsiTheme="minorHAnsi"/>
          <w:lang w:val="en-AU" w:eastAsia="hr-HR"/>
        </w:rPr>
        <w:t>.</w:t>
      </w:r>
    </w:p>
    <w:p w14:paraId="08F93D5F" w14:textId="77777777" w:rsidR="0003194E" w:rsidRPr="0003194E" w:rsidRDefault="0003194E" w:rsidP="00B63AA4">
      <w:pPr>
        <w:numPr>
          <w:ilvl w:val="0"/>
          <w:numId w:val="69"/>
        </w:numPr>
        <w:spacing w:before="100" w:beforeAutospacing="1" w:after="100" w:afterAutospacing="1"/>
        <w:ind w:right="0"/>
        <w:jc w:val="left"/>
        <w:rPr>
          <w:rFonts w:asciiTheme="minorHAnsi" w:hAnsiTheme="minorHAnsi"/>
          <w:lang w:val="en-AU" w:eastAsia="hr-HR"/>
        </w:rPr>
      </w:pPr>
      <w:r w:rsidRPr="0003194E">
        <w:rPr>
          <w:rFonts w:asciiTheme="minorHAnsi" w:hAnsiTheme="minorHAnsi"/>
          <w:lang w:val="en-AU" w:eastAsia="hr-HR"/>
        </w:rPr>
        <w:t xml:space="preserve">Limited </w:t>
      </w:r>
      <w:r w:rsidRPr="0003194E">
        <w:rPr>
          <w:rFonts w:asciiTheme="minorHAnsi" w:hAnsiTheme="minorHAnsi"/>
          <w:b/>
          <w:bCs/>
          <w:lang w:val="en-AU" w:eastAsia="hr-HR"/>
        </w:rPr>
        <w:t>coordination mechanisms</w:t>
      </w:r>
      <w:r w:rsidRPr="0003194E">
        <w:rPr>
          <w:rFonts w:asciiTheme="minorHAnsi" w:hAnsiTheme="minorHAnsi"/>
          <w:lang w:val="en-AU" w:eastAsia="hr-HR"/>
        </w:rPr>
        <w:t xml:space="preserve"> among ministries, regulatory agencies, and research institutions.</w:t>
      </w:r>
    </w:p>
    <w:p w14:paraId="5CB40C66" w14:textId="77777777" w:rsidR="0003194E" w:rsidRPr="0003194E" w:rsidRDefault="0003194E" w:rsidP="00B63AA4">
      <w:pPr>
        <w:spacing w:before="100" w:beforeAutospacing="1" w:after="100" w:afterAutospacing="1"/>
        <w:ind w:left="0" w:right="0"/>
        <w:jc w:val="left"/>
        <w:rPr>
          <w:sz w:val="24"/>
          <w:szCs w:val="24"/>
          <w:lang w:val="hr-HR" w:eastAsia="hr-HR"/>
        </w:rPr>
      </w:pPr>
      <w:r w:rsidRPr="0003194E">
        <w:rPr>
          <w:rFonts w:asciiTheme="minorHAnsi" w:hAnsiTheme="minorHAnsi"/>
          <w:lang w:val="en-AU" w:eastAsia="hr-HR"/>
        </w:rPr>
        <w:t xml:space="preserve">These gaps create uncertainty for investors and may slow Croatia’s integration into the wider </w:t>
      </w:r>
      <w:r w:rsidRPr="0003194E">
        <w:rPr>
          <w:rFonts w:asciiTheme="minorHAnsi" w:hAnsiTheme="minorHAnsi"/>
          <w:b/>
          <w:bCs/>
          <w:lang w:val="en-AU" w:eastAsia="hr-HR"/>
        </w:rPr>
        <w:t>European Hydrogen Backbone</w:t>
      </w:r>
      <w:r w:rsidRPr="0003194E">
        <w:rPr>
          <w:rFonts w:asciiTheme="minorHAnsi" w:hAnsiTheme="minorHAnsi"/>
          <w:lang w:val="en-AU" w:eastAsia="hr-HR"/>
        </w:rPr>
        <w:t xml:space="preserve"> and regional hydrogen corridors</w:t>
      </w:r>
      <w:r w:rsidRPr="0003194E">
        <w:rPr>
          <w:sz w:val="24"/>
          <w:szCs w:val="24"/>
          <w:lang w:val="hr-HR" w:eastAsia="hr-HR"/>
        </w:rPr>
        <w:t>.</w:t>
      </w:r>
    </w:p>
    <w:p w14:paraId="23A9BE7B" w14:textId="77777777" w:rsidR="0003194E" w:rsidRPr="0003194E" w:rsidRDefault="0003194E" w:rsidP="00B63AA4">
      <w:pPr>
        <w:spacing w:before="100" w:beforeAutospacing="1" w:after="100" w:afterAutospacing="1"/>
        <w:ind w:left="0" w:right="0"/>
        <w:jc w:val="left"/>
        <w:rPr>
          <w:rFonts w:asciiTheme="minorHAnsi" w:hAnsiTheme="minorHAnsi"/>
          <w:lang w:val="en-AU" w:eastAsia="hr-HR"/>
        </w:rPr>
      </w:pPr>
      <w:r w:rsidRPr="0003194E">
        <w:rPr>
          <w:rFonts w:asciiTheme="minorHAnsi" w:hAnsiTheme="minorHAnsi"/>
          <w:lang w:val="en-AU" w:eastAsia="hr-HR"/>
        </w:rPr>
        <w:t>To ensure coherence with EU legislation and interregional strategies, the following guidelines are proposed for structuring the national regulatory framework.</w:t>
      </w:r>
    </w:p>
    <w:p w14:paraId="41FD4143" w14:textId="77777777" w:rsidR="0003194E" w:rsidRPr="0003194E" w:rsidRDefault="0003194E" w:rsidP="00B63AA4">
      <w:pPr>
        <w:spacing w:before="100" w:beforeAutospacing="1" w:after="100" w:afterAutospacing="1"/>
        <w:ind w:left="0" w:right="0"/>
        <w:jc w:val="left"/>
        <w:outlineLvl w:val="3"/>
        <w:rPr>
          <w:rFonts w:asciiTheme="minorHAnsi" w:hAnsiTheme="minorHAnsi"/>
          <w:b/>
          <w:bCs/>
          <w:lang w:val="en-AU" w:eastAsia="hr-HR"/>
        </w:rPr>
      </w:pPr>
      <w:r w:rsidRPr="0003194E">
        <w:rPr>
          <w:rFonts w:asciiTheme="minorHAnsi" w:hAnsiTheme="minorHAnsi"/>
          <w:b/>
          <w:bCs/>
          <w:lang w:val="en-AU" w:eastAsia="hr-HR"/>
        </w:rPr>
        <w:lastRenderedPageBreak/>
        <w:t>3.1. Legislative and Institutional Development</w:t>
      </w:r>
    </w:p>
    <w:p w14:paraId="2BBD733E" w14:textId="77777777" w:rsidR="0003194E" w:rsidRPr="0003194E" w:rsidRDefault="0003194E" w:rsidP="00B63AA4">
      <w:pPr>
        <w:numPr>
          <w:ilvl w:val="0"/>
          <w:numId w:val="70"/>
        </w:numPr>
        <w:spacing w:before="100" w:beforeAutospacing="1" w:after="100" w:afterAutospacing="1"/>
        <w:ind w:right="0"/>
        <w:jc w:val="left"/>
        <w:rPr>
          <w:rFonts w:asciiTheme="minorHAnsi" w:hAnsiTheme="minorHAnsi"/>
          <w:lang w:val="en-AU" w:eastAsia="hr-HR"/>
        </w:rPr>
      </w:pPr>
      <w:r w:rsidRPr="0003194E">
        <w:rPr>
          <w:rFonts w:asciiTheme="minorHAnsi" w:hAnsiTheme="minorHAnsi"/>
          <w:b/>
          <w:bCs/>
          <w:lang w:val="en-AU" w:eastAsia="hr-HR"/>
        </w:rPr>
        <w:t>Adopt a Dedicated Hydrogen Act</w:t>
      </w:r>
    </w:p>
    <w:p w14:paraId="1DFAEB71" w14:textId="77777777" w:rsidR="0003194E" w:rsidRPr="0003194E" w:rsidRDefault="0003194E" w:rsidP="00B63AA4">
      <w:pPr>
        <w:numPr>
          <w:ilvl w:val="1"/>
          <w:numId w:val="70"/>
        </w:numPr>
        <w:spacing w:before="100" w:beforeAutospacing="1" w:after="100" w:afterAutospacing="1"/>
        <w:ind w:right="0"/>
        <w:jc w:val="left"/>
        <w:rPr>
          <w:rFonts w:asciiTheme="minorHAnsi" w:hAnsiTheme="minorHAnsi"/>
          <w:lang w:val="en-AU" w:eastAsia="hr-HR"/>
        </w:rPr>
      </w:pPr>
      <w:r w:rsidRPr="0003194E">
        <w:rPr>
          <w:rFonts w:asciiTheme="minorHAnsi" w:hAnsiTheme="minorHAnsi"/>
          <w:lang w:val="en-AU" w:eastAsia="hr-HR"/>
        </w:rPr>
        <w:t>Establish the legal status of hydrogen as an independent energy carrier.</w:t>
      </w:r>
    </w:p>
    <w:p w14:paraId="3E270054" w14:textId="77777777" w:rsidR="0003194E" w:rsidRPr="00CF4172" w:rsidRDefault="0003194E" w:rsidP="00B63AA4">
      <w:pPr>
        <w:numPr>
          <w:ilvl w:val="1"/>
          <w:numId w:val="70"/>
        </w:numPr>
        <w:spacing w:before="100" w:beforeAutospacing="1" w:after="100" w:afterAutospacing="1"/>
        <w:ind w:right="0"/>
        <w:jc w:val="left"/>
        <w:rPr>
          <w:rFonts w:asciiTheme="minorHAnsi" w:hAnsiTheme="minorHAnsi"/>
          <w:lang w:val="en-AU" w:eastAsia="hr-HR"/>
        </w:rPr>
      </w:pPr>
      <w:r w:rsidRPr="00CF4172">
        <w:rPr>
          <w:rFonts w:asciiTheme="minorHAnsi" w:hAnsiTheme="minorHAnsi"/>
          <w:lang w:val="en-AU" w:eastAsia="hr-HR"/>
        </w:rPr>
        <w:t>Define rules for production, transmission, storage, distribution, and consumption.</w:t>
      </w:r>
    </w:p>
    <w:p w14:paraId="79446BC8" w14:textId="56495D22" w:rsidR="0003194E" w:rsidRPr="00CF4172" w:rsidRDefault="0003194E" w:rsidP="00B63AA4">
      <w:pPr>
        <w:numPr>
          <w:ilvl w:val="1"/>
          <w:numId w:val="70"/>
        </w:numPr>
        <w:spacing w:before="100" w:beforeAutospacing="1" w:after="100" w:afterAutospacing="1"/>
        <w:ind w:right="0"/>
        <w:jc w:val="left"/>
        <w:rPr>
          <w:rFonts w:asciiTheme="minorHAnsi" w:hAnsiTheme="minorHAnsi"/>
          <w:lang w:val="en-AU" w:eastAsia="hr-HR"/>
        </w:rPr>
      </w:pPr>
      <w:r w:rsidRPr="00CF4172">
        <w:rPr>
          <w:rFonts w:asciiTheme="minorHAnsi" w:hAnsiTheme="minorHAnsi"/>
          <w:lang w:val="en-AU" w:eastAsia="hr-HR"/>
        </w:rPr>
        <w:t>Clarify roles and responsibilities of regulatory bodies (HERA, HROTE, MoE).</w:t>
      </w:r>
    </w:p>
    <w:p w14:paraId="50E7CC9E" w14:textId="77777777" w:rsidR="0003194E" w:rsidRPr="00CF4172" w:rsidRDefault="0003194E" w:rsidP="00B63AA4">
      <w:pPr>
        <w:numPr>
          <w:ilvl w:val="1"/>
          <w:numId w:val="70"/>
        </w:numPr>
        <w:spacing w:before="100" w:beforeAutospacing="1" w:after="100" w:afterAutospacing="1"/>
        <w:ind w:right="0"/>
        <w:jc w:val="left"/>
        <w:rPr>
          <w:rFonts w:asciiTheme="minorHAnsi" w:hAnsiTheme="minorHAnsi"/>
          <w:lang w:val="en-AU" w:eastAsia="hr-HR"/>
        </w:rPr>
      </w:pPr>
      <w:r w:rsidRPr="00CF4172">
        <w:rPr>
          <w:rFonts w:asciiTheme="minorHAnsi" w:hAnsiTheme="minorHAnsi"/>
          <w:lang w:val="en-AU" w:eastAsia="hr-HR"/>
        </w:rPr>
        <w:t>Ensure alignment with the EU Hydrogen and Decarbonised Gas Market Package.</w:t>
      </w:r>
    </w:p>
    <w:p w14:paraId="67A1B811" w14:textId="77777777" w:rsidR="0003194E" w:rsidRPr="00CF4172" w:rsidRDefault="0003194E" w:rsidP="00B63AA4">
      <w:pPr>
        <w:numPr>
          <w:ilvl w:val="0"/>
          <w:numId w:val="70"/>
        </w:numPr>
        <w:spacing w:before="100" w:beforeAutospacing="1" w:after="100" w:afterAutospacing="1"/>
        <w:ind w:right="0"/>
        <w:jc w:val="left"/>
        <w:rPr>
          <w:rFonts w:asciiTheme="minorHAnsi" w:hAnsiTheme="minorHAnsi"/>
          <w:lang w:val="en-AU" w:eastAsia="hr-HR"/>
        </w:rPr>
      </w:pPr>
      <w:r w:rsidRPr="00CF4172">
        <w:rPr>
          <w:rFonts w:asciiTheme="minorHAnsi" w:hAnsiTheme="minorHAnsi"/>
          <w:b/>
          <w:bCs/>
          <w:lang w:val="en-AU" w:eastAsia="hr-HR"/>
        </w:rPr>
        <w:t>Develop Secondary Legislation and Technical Regulations</w:t>
      </w:r>
    </w:p>
    <w:p w14:paraId="421F48E1" w14:textId="77777777" w:rsidR="0003194E" w:rsidRPr="00CF4172" w:rsidRDefault="0003194E" w:rsidP="00B63AA4">
      <w:pPr>
        <w:numPr>
          <w:ilvl w:val="1"/>
          <w:numId w:val="70"/>
        </w:numPr>
        <w:spacing w:before="100" w:beforeAutospacing="1" w:after="100" w:afterAutospacing="1"/>
        <w:ind w:right="0"/>
        <w:jc w:val="left"/>
        <w:rPr>
          <w:rFonts w:asciiTheme="minorHAnsi" w:hAnsiTheme="minorHAnsi"/>
          <w:lang w:val="en-AU" w:eastAsia="hr-HR"/>
        </w:rPr>
      </w:pPr>
      <w:r w:rsidRPr="00CF4172">
        <w:rPr>
          <w:rFonts w:asciiTheme="minorHAnsi" w:hAnsiTheme="minorHAnsi"/>
          <w:lang w:val="en-AU" w:eastAsia="hr-HR"/>
        </w:rPr>
        <w:t>Create technical codes for hydrogen infrastructure (pipeline standards, blending limits, safety norms).</w:t>
      </w:r>
    </w:p>
    <w:p w14:paraId="453BBE5F" w14:textId="77777777" w:rsidR="0003194E" w:rsidRPr="00CF4172" w:rsidRDefault="0003194E" w:rsidP="00B63AA4">
      <w:pPr>
        <w:numPr>
          <w:ilvl w:val="1"/>
          <w:numId w:val="70"/>
        </w:numPr>
        <w:spacing w:before="100" w:beforeAutospacing="1" w:after="100" w:afterAutospacing="1"/>
        <w:ind w:right="0"/>
        <w:jc w:val="left"/>
        <w:rPr>
          <w:rFonts w:asciiTheme="minorHAnsi" w:hAnsiTheme="minorHAnsi"/>
          <w:lang w:val="en-AU" w:eastAsia="hr-HR"/>
        </w:rPr>
      </w:pPr>
      <w:r w:rsidRPr="00CF4172">
        <w:rPr>
          <w:rFonts w:asciiTheme="minorHAnsi" w:hAnsiTheme="minorHAnsi"/>
          <w:lang w:val="en-AU" w:eastAsia="hr-HR"/>
        </w:rPr>
        <w:t>Define grid connection procedures and access rules.</w:t>
      </w:r>
    </w:p>
    <w:p w14:paraId="20032C2A" w14:textId="77777777" w:rsidR="0003194E" w:rsidRPr="00CF4172" w:rsidRDefault="0003194E" w:rsidP="00B63AA4">
      <w:pPr>
        <w:numPr>
          <w:ilvl w:val="1"/>
          <w:numId w:val="70"/>
        </w:numPr>
        <w:spacing w:before="100" w:beforeAutospacing="1" w:after="100" w:afterAutospacing="1"/>
        <w:ind w:right="0"/>
        <w:jc w:val="left"/>
        <w:rPr>
          <w:rFonts w:asciiTheme="minorHAnsi" w:hAnsiTheme="minorHAnsi"/>
          <w:lang w:val="en-AU" w:eastAsia="hr-HR"/>
        </w:rPr>
      </w:pPr>
      <w:r w:rsidRPr="00CF4172">
        <w:rPr>
          <w:rFonts w:asciiTheme="minorHAnsi" w:hAnsiTheme="minorHAnsi"/>
          <w:lang w:val="en-AU" w:eastAsia="hr-HR"/>
        </w:rPr>
        <w:t>Integrate hydrogen within national energy market rules and tariff systems.</w:t>
      </w:r>
    </w:p>
    <w:p w14:paraId="34C1FF15" w14:textId="77777777" w:rsidR="0003194E" w:rsidRPr="00CF4172" w:rsidRDefault="0003194E" w:rsidP="00B63AA4">
      <w:pPr>
        <w:numPr>
          <w:ilvl w:val="0"/>
          <w:numId w:val="70"/>
        </w:numPr>
        <w:spacing w:before="100" w:beforeAutospacing="1" w:after="100" w:afterAutospacing="1"/>
        <w:ind w:right="0"/>
        <w:jc w:val="left"/>
        <w:rPr>
          <w:rFonts w:asciiTheme="minorHAnsi" w:hAnsiTheme="minorHAnsi"/>
          <w:lang w:val="en-AU" w:eastAsia="hr-HR"/>
        </w:rPr>
      </w:pPr>
      <w:r w:rsidRPr="00CF4172">
        <w:rPr>
          <w:rFonts w:asciiTheme="minorHAnsi" w:hAnsiTheme="minorHAnsi"/>
          <w:b/>
          <w:bCs/>
          <w:lang w:val="en-AU" w:eastAsia="hr-HR"/>
        </w:rPr>
        <w:t>Establish a National Hydrogen Regulatory Coordination Council</w:t>
      </w:r>
    </w:p>
    <w:p w14:paraId="11638879" w14:textId="77777777" w:rsidR="0003194E" w:rsidRPr="00CF4172" w:rsidRDefault="0003194E" w:rsidP="00B63AA4">
      <w:pPr>
        <w:numPr>
          <w:ilvl w:val="1"/>
          <w:numId w:val="70"/>
        </w:numPr>
        <w:spacing w:before="100" w:beforeAutospacing="1" w:after="100" w:afterAutospacing="1"/>
        <w:ind w:right="0"/>
        <w:jc w:val="left"/>
        <w:rPr>
          <w:rFonts w:asciiTheme="minorHAnsi" w:hAnsiTheme="minorHAnsi"/>
          <w:lang w:val="en-AU" w:eastAsia="hr-HR"/>
        </w:rPr>
      </w:pPr>
      <w:r w:rsidRPr="00CF4172">
        <w:rPr>
          <w:rFonts w:asciiTheme="minorHAnsi" w:hAnsiTheme="minorHAnsi"/>
          <w:lang w:val="en-AU" w:eastAsia="hr-HR"/>
        </w:rPr>
        <w:t>Comprising representatives of ministries, HERA, EIHP, academia, and industry.</w:t>
      </w:r>
    </w:p>
    <w:p w14:paraId="22182D09" w14:textId="40CE39F5" w:rsidR="0003194E" w:rsidRPr="00CF4172" w:rsidRDefault="0003194E" w:rsidP="00B63AA4">
      <w:pPr>
        <w:numPr>
          <w:ilvl w:val="1"/>
          <w:numId w:val="70"/>
        </w:numPr>
        <w:spacing w:before="100" w:beforeAutospacing="1" w:after="100" w:afterAutospacing="1"/>
        <w:ind w:right="0"/>
        <w:jc w:val="left"/>
        <w:rPr>
          <w:rFonts w:asciiTheme="minorHAnsi" w:hAnsiTheme="minorHAnsi"/>
          <w:lang w:val="en-AU" w:eastAsia="hr-HR"/>
        </w:rPr>
      </w:pPr>
      <w:r w:rsidRPr="00CF4172">
        <w:rPr>
          <w:rFonts w:asciiTheme="minorHAnsi" w:hAnsiTheme="minorHAnsi"/>
          <w:lang w:val="en-AU" w:eastAsia="hr-HR"/>
        </w:rPr>
        <w:t>Tasked with monitoring regulatory progress, providing advice, and ensuring coherence with EU standards.</w:t>
      </w:r>
    </w:p>
    <w:p w14:paraId="14847196" w14:textId="77777777" w:rsidR="0003194E" w:rsidRPr="00CF4172" w:rsidRDefault="0003194E" w:rsidP="00B63AA4">
      <w:pPr>
        <w:spacing w:before="100" w:beforeAutospacing="1" w:after="100" w:afterAutospacing="1"/>
        <w:ind w:left="0" w:right="0"/>
        <w:jc w:val="left"/>
        <w:outlineLvl w:val="3"/>
        <w:rPr>
          <w:rFonts w:asciiTheme="minorHAnsi" w:hAnsiTheme="minorHAnsi"/>
          <w:b/>
          <w:bCs/>
          <w:lang w:val="en-AU" w:eastAsia="hr-HR"/>
        </w:rPr>
      </w:pPr>
      <w:r w:rsidRPr="00CF4172">
        <w:rPr>
          <w:rFonts w:asciiTheme="minorHAnsi" w:hAnsiTheme="minorHAnsi"/>
          <w:b/>
          <w:bCs/>
          <w:lang w:val="en-AU" w:eastAsia="hr-HR"/>
        </w:rPr>
        <w:t>3.2. Market and Certification System</w:t>
      </w:r>
    </w:p>
    <w:p w14:paraId="38064DA0" w14:textId="77777777" w:rsidR="0003194E" w:rsidRPr="00CF4172" w:rsidRDefault="0003194E" w:rsidP="00B63AA4">
      <w:pPr>
        <w:numPr>
          <w:ilvl w:val="0"/>
          <w:numId w:val="71"/>
        </w:numPr>
        <w:spacing w:before="100" w:beforeAutospacing="1" w:after="100" w:afterAutospacing="1"/>
        <w:ind w:right="0"/>
        <w:jc w:val="left"/>
        <w:rPr>
          <w:rFonts w:asciiTheme="minorHAnsi" w:hAnsiTheme="minorHAnsi"/>
          <w:lang w:val="en-AU" w:eastAsia="hr-HR"/>
        </w:rPr>
      </w:pPr>
      <w:r w:rsidRPr="00CF4172">
        <w:rPr>
          <w:rFonts w:asciiTheme="minorHAnsi" w:hAnsiTheme="minorHAnsi"/>
          <w:b/>
          <w:bCs/>
          <w:lang w:val="en-AU" w:eastAsia="hr-HR"/>
        </w:rPr>
        <w:t>Implement a Guarantees of Origin (GoO) Scheme for Hydrogen</w:t>
      </w:r>
    </w:p>
    <w:p w14:paraId="64DCCD90" w14:textId="77777777" w:rsidR="0003194E" w:rsidRPr="00CF4172" w:rsidRDefault="0003194E" w:rsidP="00B63AA4">
      <w:pPr>
        <w:numPr>
          <w:ilvl w:val="1"/>
          <w:numId w:val="71"/>
        </w:numPr>
        <w:spacing w:before="100" w:beforeAutospacing="1" w:after="100" w:afterAutospacing="1"/>
        <w:ind w:right="0"/>
        <w:jc w:val="left"/>
        <w:rPr>
          <w:rFonts w:asciiTheme="minorHAnsi" w:hAnsiTheme="minorHAnsi"/>
          <w:lang w:val="en-AU" w:eastAsia="hr-HR"/>
        </w:rPr>
      </w:pPr>
      <w:r w:rsidRPr="00CF4172">
        <w:rPr>
          <w:rFonts w:asciiTheme="minorHAnsi" w:hAnsiTheme="minorHAnsi"/>
          <w:lang w:val="en-AU" w:eastAsia="hr-HR"/>
        </w:rPr>
        <w:t>Aligned with EU standards under the Renewable Energy Directive (RED II/III).</w:t>
      </w:r>
    </w:p>
    <w:p w14:paraId="05C6F05F" w14:textId="77777777" w:rsidR="0003194E" w:rsidRPr="00CF4172" w:rsidRDefault="0003194E" w:rsidP="00B63AA4">
      <w:pPr>
        <w:numPr>
          <w:ilvl w:val="1"/>
          <w:numId w:val="71"/>
        </w:numPr>
        <w:spacing w:before="100" w:beforeAutospacing="1" w:after="100" w:afterAutospacing="1"/>
        <w:ind w:right="0"/>
        <w:jc w:val="left"/>
        <w:rPr>
          <w:rFonts w:asciiTheme="minorHAnsi" w:hAnsiTheme="minorHAnsi"/>
          <w:lang w:val="en-AU" w:eastAsia="hr-HR"/>
        </w:rPr>
      </w:pPr>
      <w:r w:rsidRPr="00CF4172">
        <w:rPr>
          <w:rFonts w:asciiTheme="minorHAnsi" w:hAnsiTheme="minorHAnsi"/>
          <w:lang w:val="en-AU" w:eastAsia="hr-HR"/>
        </w:rPr>
        <w:t>Administered by HROTE to certify renewable hydrogen production and facilitate cross-border trade.</w:t>
      </w:r>
    </w:p>
    <w:p w14:paraId="3C0024EF" w14:textId="77777777" w:rsidR="0003194E" w:rsidRPr="00CF4172" w:rsidRDefault="0003194E" w:rsidP="00B63AA4">
      <w:pPr>
        <w:numPr>
          <w:ilvl w:val="0"/>
          <w:numId w:val="71"/>
        </w:numPr>
        <w:spacing w:before="100" w:beforeAutospacing="1" w:after="100" w:afterAutospacing="1"/>
        <w:ind w:right="0"/>
        <w:jc w:val="left"/>
        <w:rPr>
          <w:rFonts w:asciiTheme="minorHAnsi" w:hAnsiTheme="minorHAnsi"/>
          <w:lang w:val="en-AU" w:eastAsia="hr-HR"/>
        </w:rPr>
      </w:pPr>
      <w:r w:rsidRPr="00CF4172">
        <w:rPr>
          <w:rFonts w:asciiTheme="minorHAnsi" w:hAnsiTheme="minorHAnsi"/>
          <w:b/>
          <w:bCs/>
          <w:lang w:val="en-AU" w:eastAsia="hr-HR"/>
        </w:rPr>
        <w:t>Develop a Transparent Pricing and Market Access Mechanism</w:t>
      </w:r>
    </w:p>
    <w:p w14:paraId="6C95B60B" w14:textId="77777777" w:rsidR="0003194E" w:rsidRPr="00CF4172" w:rsidRDefault="0003194E" w:rsidP="00B63AA4">
      <w:pPr>
        <w:numPr>
          <w:ilvl w:val="1"/>
          <w:numId w:val="71"/>
        </w:numPr>
        <w:spacing w:before="100" w:beforeAutospacing="1" w:after="100" w:afterAutospacing="1"/>
        <w:ind w:right="0"/>
        <w:jc w:val="left"/>
        <w:rPr>
          <w:rFonts w:asciiTheme="minorHAnsi" w:hAnsiTheme="minorHAnsi"/>
          <w:lang w:val="en-AU" w:eastAsia="hr-HR"/>
        </w:rPr>
      </w:pPr>
      <w:r w:rsidRPr="00CF4172">
        <w:rPr>
          <w:rFonts w:asciiTheme="minorHAnsi" w:hAnsiTheme="minorHAnsi"/>
          <w:lang w:val="en-AU" w:eastAsia="hr-HR"/>
        </w:rPr>
        <w:t>Introduce pilot auctions or Contracts for Difference (CfD) for renewable hydrogen.</w:t>
      </w:r>
    </w:p>
    <w:p w14:paraId="4675C04D" w14:textId="77777777" w:rsidR="0003194E" w:rsidRPr="00CF4172" w:rsidRDefault="0003194E" w:rsidP="00B63AA4">
      <w:pPr>
        <w:numPr>
          <w:ilvl w:val="1"/>
          <w:numId w:val="71"/>
        </w:numPr>
        <w:spacing w:before="100" w:beforeAutospacing="1" w:after="100" w:afterAutospacing="1"/>
        <w:ind w:right="0"/>
        <w:jc w:val="left"/>
        <w:rPr>
          <w:rFonts w:asciiTheme="minorHAnsi" w:hAnsiTheme="minorHAnsi"/>
          <w:lang w:val="en-AU" w:eastAsia="hr-HR"/>
        </w:rPr>
      </w:pPr>
      <w:r w:rsidRPr="00CF4172">
        <w:rPr>
          <w:rFonts w:asciiTheme="minorHAnsi" w:hAnsiTheme="minorHAnsi"/>
          <w:lang w:val="en-AU" w:eastAsia="hr-HR"/>
        </w:rPr>
        <w:t>Enable bilateral trading platforms for hydrogen supply contracts.</w:t>
      </w:r>
    </w:p>
    <w:p w14:paraId="2E5F3100" w14:textId="77777777" w:rsidR="0003194E" w:rsidRPr="00CF4172" w:rsidRDefault="0003194E" w:rsidP="00B63AA4">
      <w:pPr>
        <w:numPr>
          <w:ilvl w:val="0"/>
          <w:numId w:val="71"/>
        </w:numPr>
        <w:spacing w:before="100" w:beforeAutospacing="1" w:after="100" w:afterAutospacing="1"/>
        <w:ind w:right="0"/>
        <w:jc w:val="left"/>
        <w:rPr>
          <w:rFonts w:asciiTheme="minorHAnsi" w:hAnsiTheme="minorHAnsi"/>
          <w:lang w:val="en-AU" w:eastAsia="hr-HR"/>
        </w:rPr>
      </w:pPr>
      <w:r w:rsidRPr="00CF4172">
        <w:rPr>
          <w:rFonts w:asciiTheme="minorHAnsi" w:hAnsiTheme="minorHAnsi"/>
          <w:b/>
          <w:bCs/>
          <w:lang w:val="en-AU" w:eastAsia="hr-HR"/>
        </w:rPr>
        <w:t>Integrate Hydrogen into the Gas and Power Markets</w:t>
      </w:r>
    </w:p>
    <w:p w14:paraId="14E79D7A" w14:textId="0143B0A5" w:rsidR="0003194E" w:rsidRPr="00CF4172" w:rsidRDefault="0003194E" w:rsidP="00B63AA4">
      <w:pPr>
        <w:numPr>
          <w:ilvl w:val="1"/>
          <w:numId w:val="71"/>
        </w:numPr>
        <w:spacing w:before="100" w:beforeAutospacing="1" w:after="100" w:afterAutospacing="1"/>
        <w:ind w:right="0"/>
        <w:jc w:val="left"/>
        <w:rPr>
          <w:rFonts w:asciiTheme="minorHAnsi" w:hAnsiTheme="minorHAnsi"/>
          <w:lang w:val="en-AU" w:eastAsia="hr-HR"/>
        </w:rPr>
      </w:pPr>
      <w:r w:rsidRPr="00CF4172">
        <w:rPr>
          <w:rFonts w:asciiTheme="minorHAnsi" w:hAnsiTheme="minorHAnsi"/>
          <w:lang w:val="en-AU" w:eastAsia="hr-HR"/>
        </w:rPr>
        <w:t>Allow blending where technically feasible while preparing for dedicated hydrogen networks.</w:t>
      </w:r>
    </w:p>
    <w:p w14:paraId="149107F2" w14:textId="77777777" w:rsidR="0003194E" w:rsidRPr="00CF4172" w:rsidRDefault="0003194E" w:rsidP="00B63AA4">
      <w:pPr>
        <w:numPr>
          <w:ilvl w:val="1"/>
          <w:numId w:val="71"/>
        </w:numPr>
        <w:spacing w:before="100" w:beforeAutospacing="1" w:after="100" w:afterAutospacing="1"/>
        <w:ind w:right="0"/>
        <w:jc w:val="left"/>
        <w:rPr>
          <w:rFonts w:asciiTheme="minorHAnsi" w:hAnsiTheme="minorHAnsi"/>
          <w:lang w:val="en-AU" w:eastAsia="hr-HR"/>
        </w:rPr>
      </w:pPr>
      <w:r w:rsidRPr="00CF4172">
        <w:rPr>
          <w:rFonts w:asciiTheme="minorHAnsi" w:hAnsiTheme="minorHAnsi"/>
          <w:lang w:val="en-AU" w:eastAsia="hr-HR"/>
        </w:rPr>
        <w:t>Coordinate hydrogen dispatch with electricity grid operations to support system balancing.</w:t>
      </w:r>
    </w:p>
    <w:p w14:paraId="33FD4C74" w14:textId="77777777" w:rsidR="0003194E" w:rsidRPr="00CF4172" w:rsidRDefault="0003194E" w:rsidP="00B63AA4">
      <w:pPr>
        <w:spacing w:before="100" w:beforeAutospacing="1" w:after="100" w:afterAutospacing="1"/>
        <w:ind w:left="0" w:right="0"/>
        <w:jc w:val="left"/>
        <w:outlineLvl w:val="3"/>
        <w:rPr>
          <w:rFonts w:asciiTheme="minorHAnsi" w:hAnsiTheme="minorHAnsi"/>
          <w:b/>
          <w:bCs/>
          <w:lang w:val="en-AU" w:eastAsia="hr-HR"/>
        </w:rPr>
      </w:pPr>
      <w:r w:rsidRPr="00CF4172">
        <w:rPr>
          <w:rFonts w:asciiTheme="minorHAnsi" w:hAnsiTheme="minorHAnsi"/>
          <w:b/>
          <w:bCs/>
          <w:lang w:val="en-AU" w:eastAsia="hr-HR"/>
        </w:rPr>
        <w:t>3.3. Infrastructure Planning and Permitting</w:t>
      </w:r>
    </w:p>
    <w:p w14:paraId="176ADC1A" w14:textId="77777777" w:rsidR="0003194E" w:rsidRPr="00CF4172" w:rsidRDefault="0003194E" w:rsidP="00B63AA4">
      <w:pPr>
        <w:numPr>
          <w:ilvl w:val="0"/>
          <w:numId w:val="72"/>
        </w:numPr>
        <w:spacing w:before="100" w:beforeAutospacing="1" w:after="100" w:afterAutospacing="1"/>
        <w:ind w:right="0"/>
        <w:jc w:val="left"/>
        <w:rPr>
          <w:rFonts w:asciiTheme="minorHAnsi" w:hAnsiTheme="minorHAnsi"/>
          <w:lang w:val="en-AU" w:eastAsia="hr-HR"/>
        </w:rPr>
      </w:pPr>
      <w:r w:rsidRPr="00CF4172">
        <w:rPr>
          <w:rFonts w:asciiTheme="minorHAnsi" w:hAnsiTheme="minorHAnsi"/>
          <w:b/>
          <w:bCs/>
          <w:lang w:val="en-AU" w:eastAsia="hr-HR"/>
        </w:rPr>
        <w:t>Streamline Permitting Procedures</w:t>
      </w:r>
    </w:p>
    <w:p w14:paraId="798AA2BD" w14:textId="77777777" w:rsidR="0003194E" w:rsidRPr="00CF4172" w:rsidRDefault="0003194E" w:rsidP="00B63AA4">
      <w:pPr>
        <w:numPr>
          <w:ilvl w:val="1"/>
          <w:numId w:val="72"/>
        </w:numPr>
        <w:spacing w:before="100" w:beforeAutospacing="1" w:after="100" w:afterAutospacing="1"/>
        <w:ind w:right="0"/>
        <w:jc w:val="left"/>
        <w:rPr>
          <w:rFonts w:asciiTheme="minorHAnsi" w:hAnsiTheme="minorHAnsi"/>
          <w:lang w:val="en-AU" w:eastAsia="hr-HR"/>
        </w:rPr>
      </w:pPr>
      <w:r w:rsidRPr="00CF4172">
        <w:rPr>
          <w:rFonts w:asciiTheme="minorHAnsi" w:hAnsiTheme="minorHAnsi"/>
          <w:lang w:val="en-AU" w:eastAsia="hr-HR"/>
        </w:rPr>
        <w:t>Establish a “one-stop-shop” for hydrogen project approvals to reduce administrative burden.</w:t>
      </w:r>
    </w:p>
    <w:p w14:paraId="56922FEF" w14:textId="77777777" w:rsidR="0003194E" w:rsidRPr="00CF4172" w:rsidRDefault="0003194E" w:rsidP="00B63AA4">
      <w:pPr>
        <w:numPr>
          <w:ilvl w:val="1"/>
          <w:numId w:val="72"/>
        </w:numPr>
        <w:spacing w:before="100" w:beforeAutospacing="1" w:after="100" w:afterAutospacing="1"/>
        <w:ind w:right="0"/>
        <w:jc w:val="left"/>
        <w:rPr>
          <w:rFonts w:asciiTheme="minorHAnsi" w:hAnsiTheme="minorHAnsi"/>
          <w:lang w:val="en-AU" w:eastAsia="hr-HR"/>
        </w:rPr>
      </w:pPr>
      <w:r w:rsidRPr="00CF4172">
        <w:rPr>
          <w:rFonts w:asciiTheme="minorHAnsi" w:hAnsiTheme="minorHAnsi"/>
          <w:lang w:val="en-AU" w:eastAsia="hr-HR"/>
        </w:rPr>
        <w:t>Introduce clear EIA/SEA guidance specific to hydrogen infrastructure.</w:t>
      </w:r>
    </w:p>
    <w:p w14:paraId="4145C6A8" w14:textId="77777777" w:rsidR="0003194E" w:rsidRPr="00CF4172" w:rsidRDefault="0003194E" w:rsidP="00B63AA4">
      <w:pPr>
        <w:numPr>
          <w:ilvl w:val="0"/>
          <w:numId w:val="72"/>
        </w:numPr>
        <w:spacing w:before="100" w:beforeAutospacing="1" w:after="100" w:afterAutospacing="1"/>
        <w:ind w:right="0"/>
        <w:jc w:val="left"/>
        <w:rPr>
          <w:rFonts w:asciiTheme="minorHAnsi" w:hAnsiTheme="minorHAnsi"/>
          <w:lang w:val="en-AU" w:eastAsia="hr-HR"/>
        </w:rPr>
      </w:pPr>
      <w:r w:rsidRPr="00CF4172">
        <w:rPr>
          <w:rFonts w:asciiTheme="minorHAnsi" w:hAnsiTheme="minorHAnsi"/>
          <w:b/>
          <w:bCs/>
          <w:lang w:val="en-AU" w:eastAsia="hr-HR"/>
        </w:rPr>
        <w:t>Incorporate Hydrogen in National and Regional Spatial Planning</w:t>
      </w:r>
    </w:p>
    <w:p w14:paraId="2CE2E4E9" w14:textId="77777777" w:rsidR="0003194E" w:rsidRPr="00CF4172" w:rsidRDefault="0003194E" w:rsidP="00B63AA4">
      <w:pPr>
        <w:numPr>
          <w:ilvl w:val="1"/>
          <w:numId w:val="72"/>
        </w:numPr>
        <w:spacing w:before="100" w:beforeAutospacing="1" w:after="100" w:afterAutospacing="1"/>
        <w:ind w:right="0"/>
        <w:jc w:val="left"/>
        <w:rPr>
          <w:rFonts w:asciiTheme="minorHAnsi" w:hAnsiTheme="minorHAnsi"/>
          <w:lang w:val="en-AU" w:eastAsia="hr-HR"/>
        </w:rPr>
      </w:pPr>
      <w:r w:rsidRPr="00CF4172">
        <w:rPr>
          <w:rFonts w:asciiTheme="minorHAnsi" w:hAnsiTheme="minorHAnsi"/>
          <w:lang w:val="en-AU" w:eastAsia="hr-HR"/>
        </w:rPr>
        <w:t>Identify hydrogen production zones, storage sites, and transport corridors.</w:t>
      </w:r>
    </w:p>
    <w:p w14:paraId="17749C3C" w14:textId="77777777" w:rsidR="0003194E" w:rsidRPr="00CF4172" w:rsidRDefault="0003194E" w:rsidP="00B63AA4">
      <w:pPr>
        <w:numPr>
          <w:ilvl w:val="1"/>
          <w:numId w:val="72"/>
        </w:numPr>
        <w:spacing w:before="100" w:beforeAutospacing="1" w:after="100" w:afterAutospacing="1"/>
        <w:ind w:right="0"/>
        <w:jc w:val="left"/>
        <w:rPr>
          <w:rFonts w:asciiTheme="minorHAnsi" w:hAnsiTheme="minorHAnsi"/>
          <w:lang w:val="en-AU" w:eastAsia="hr-HR"/>
        </w:rPr>
      </w:pPr>
      <w:r w:rsidRPr="00CF4172">
        <w:rPr>
          <w:rFonts w:asciiTheme="minorHAnsi" w:hAnsiTheme="minorHAnsi"/>
          <w:lang w:val="en-AU" w:eastAsia="hr-HR"/>
        </w:rPr>
        <w:t>Prioritize connection to renewable energy sources and industrial clusters.</w:t>
      </w:r>
    </w:p>
    <w:p w14:paraId="6F9A5840" w14:textId="77777777" w:rsidR="0003194E" w:rsidRPr="00CF4172" w:rsidRDefault="0003194E" w:rsidP="00B63AA4">
      <w:pPr>
        <w:numPr>
          <w:ilvl w:val="0"/>
          <w:numId w:val="72"/>
        </w:numPr>
        <w:spacing w:before="100" w:beforeAutospacing="1" w:after="100" w:afterAutospacing="1"/>
        <w:ind w:right="0"/>
        <w:jc w:val="left"/>
        <w:rPr>
          <w:rFonts w:asciiTheme="minorHAnsi" w:hAnsiTheme="minorHAnsi"/>
          <w:lang w:val="en-AU" w:eastAsia="hr-HR"/>
        </w:rPr>
      </w:pPr>
      <w:r w:rsidRPr="00CF4172">
        <w:rPr>
          <w:rFonts w:asciiTheme="minorHAnsi" w:hAnsiTheme="minorHAnsi"/>
          <w:b/>
          <w:bCs/>
          <w:lang w:val="en-AU" w:eastAsia="hr-HR"/>
        </w:rPr>
        <w:t>Promote Cross-Border Infrastructure Integration</w:t>
      </w:r>
    </w:p>
    <w:p w14:paraId="0F3880C5" w14:textId="77777777" w:rsidR="0003194E" w:rsidRPr="00CF4172" w:rsidRDefault="0003194E" w:rsidP="00B63AA4">
      <w:pPr>
        <w:numPr>
          <w:ilvl w:val="1"/>
          <w:numId w:val="72"/>
        </w:numPr>
        <w:spacing w:before="100" w:beforeAutospacing="1" w:after="100" w:afterAutospacing="1"/>
        <w:ind w:right="0"/>
        <w:jc w:val="left"/>
        <w:rPr>
          <w:rFonts w:asciiTheme="minorHAnsi" w:hAnsiTheme="minorHAnsi"/>
          <w:lang w:val="en-AU" w:eastAsia="hr-HR"/>
        </w:rPr>
      </w:pPr>
      <w:r w:rsidRPr="00CF4172">
        <w:rPr>
          <w:rFonts w:asciiTheme="minorHAnsi" w:hAnsiTheme="minorHAnsi"/>
          <w:lang w:val="en-AU" w:eastAsia="hr-HR"/>
        </w:rPr>
        <w:t xml:space="preserve">Support participation in the </w:t>
      </w:r>
      <w:r w:rsidRPr="00CF4172">
        <w:rPr>
          <w:rFonts w:asciiTheme="minorHAnsi" w:hAnsiTheme="minorHAnsi"/>
          <w:b/>
          <w:bCs/>
          <w:lang w:val="en-AU" w:eastAsia="hr-HR"/>
        </w:rPr>
        <w:t>Adriatic-Ionian Hydrogen Corridor (AIHC)</w:t>
      </w:r>
      <w:r w:rsidRPr="00CF4172">
        <w:rPr>
          <w:rFonts w:asciiTheme="minorHAnsi" w:hAnsiTheme="minorHAnsi"/>
          <w:lang w:val="en-AU" w:eastAsia="hr-HR"/>
        </w:rPr>
        <w:t xml:space="preserve"> and the </w:t>
      </w:r>
      <w:r w:rsidRPr="00CF4172">
        <w:rPr>
          <w:rFonts w:asciiTheme="minorHAnsi" w:hAnsiTheme="minorHAnsi"/>
          <w:b/>
          <w:bCs/>
          <w:lang w:val="en-AU" w:eastAsia="hr-HR"/>
        </w:rPr>
        <w:t>European Hydrogen Backbone (EHB)</w:t>
      </w:r>
      <w:r w:rsidRPr="00CF4172">
        <w:rPr>
          <w:rFonts w:asciiTheme="minorHAnsi" w:hAnsiTheme="minorHAnsi"/>
          <w:lang w:val="en-AU" w:eastAsia="hr-HR"/>
        </w:rPr>
        <w:t>.</w:t>
      </w:r>
    </w:p>
    <w:p w14:paraId="68CBA040" w14:textId="64C0D777" w:rsidR="0003194E" w:rsidRPr="00CF4172" w:rsidRDefault="0003194E" w:rsidP="00B63AA4">
      <w:pPr>
        <w:numPr>
          <w:ilvl w:val="1"/>
          <w:numId w:val="72"/>
        </w:numPr>
        <w:spacing w:before="100" w:beforeAutospacing="1" w:after="100" w:afterAutospacing="1"/>
        <w:ind w:right="0"/>
        <w:jc w:val="left"/>
        <w:rPr>
          <w:rFonts w:asciiTheme="minorHAnsi" w:hAnsiTheme="minorHAnsi"/>
          <w:lang w:val="en-AU" w:eastAsia="hr-HR"/>
        </w:rPr>
      </w:pPr>
      <w:r w:rsidRPr="00CF4172">
        <w:rPr>
          <w:rFonts w:asciiTheme="minorHAnsi" w:hAnsiTheme="minorHAnsi"/>
          <w:lang w:val="en-AU" w:eastAsia="hr-HR"/>
        </w:rPr>
        <w:t>Coordinate pipeline planning with Slovenia, Hungary, Italy, and other neighboring countries.</w:t>
      </w:r>
    </w:p>
    <w:p w14:paraId="66CFAB03" w14:textId="77777777" w:rsidR="0003194E" w:rsidRPr="00CF4172" w:rsidRDefault="0003194E" w:rsidP="00B63AA4">
      <w:pPr>
        <w:spacing w:before="100" w:beforeAutospacing="1" w:after="100" w:afterAutospacing="1"/>
        <w:ind w:left="0" w:right="0"/>
        <w:jc w:val="left"/>
        <w:outlineLvl w:val="3"/>
        <w:rPr>
          <w:rFonts w:asciiTheme="minorHAnsi" w:hAnsiTheme="minorHAnsi"/>
          <w:b/>
          <w:bCs/>
          <w:lang w:val="en-AU" w:eastAsia="hr-HR"/>
        </w:rPr>
      </w:pPr>
      <w:r w:rsidRPr="00CF4172">
        <w:rPr>
          <w:rFonts w:asciiTheme="minorHAnsi" w:hAnsiTheme="minorHAnsi"/>
          <w:b/>
          <w:bCs/>
          <w:lang w:val="hr-HR" w:eastAsia="hr-HR"/>
        </w:rPr>
        <w:t>3.4</w:t>
      </w:r>
      <w:r w:rsidRPr="00CF4172">
        <w:rPr>
          <w:rFonts w:asciiTheme="minorHAnsi" w:hAnsiTheme="minorHAnsi"/>
          <w:b/>
          <w:bCs/>
          <w:lang w:val="en-AU" w:eastAsia="hr-HR"/>
        </w:rPr>
        <w:t>. Safety, Standards, and Public Acceptance</w:t>
      </w:r>
    </w:p>
    <w:p w14:paraId="47E08448" w14:textId="77777777" w:rsidR="0003194E" w:rsidRPr="00CF4172" w:rsidRDefault="0003194E" w:rsidP="00B63AA4">
      <w:pPr>
        <w:numPr>
          <w:ilvl w:val="0"/>
          <w:numId w:val="73"/>
        </w:numPr>
        <w:spacing w:before="100" w:beforeAutospacing="1" w:after="100" w:afterAutospacing="1"/>
        <w:ind w:right="0"/>
        <w:jc w:val="left"/>
        <w:rPr>
          <w:rFonts w:asciiTheme="minorHAnsi" w:hAnsiTheme="minorHAnsi"/>
          <w:lang w:val="en-AU" w:eastAsia="hr-HR"/>
        </w:rPr>
      </w:pPr>
      <w:r w:rsidRPr="00CF4172">
        <w:rPr>
          <w:rFonts w:asciiTheme="minorHAnsi" w:hAnsiTheme="minorHAnsi"/>
          <w:b/>
          <w:bCs/>
          <w:lang w:val="en-AU" w:eastAsia="hr-HR"/>
        </w:rPr>
        <w:t>Adopt EU and ISO Standards for Hydrogen Safety</w:t>
      </w:r>
    </w:p>
    <w:p w14:paraId="0B3F911B" w14:textId="77777777" w:rsidR="0003194E" w:rsidRPr="00CF4172" w:rsidRDefault="0003194E" w:rsidP="00B63AA4">
      <w:pPr>
        <w:numPr>
          <w:ilvl w:val="1"/>
          <w:numId w:val="73"/>
        </w:numPr>
        <w:spacing w:before="100" w:beforeAutospacing="1" w:after="100" w:afterAutospacing="1"/>
        <w:ind w:right="0"/>
        <w:jc w:val="left"/>
        <w:rPr>
          <w:rFonts w:asciiTheme="minorHAnsi" w:hAnsiTheme="minorHAnsi"/>
          <w:lang w:val="en-AU" w:eastAsia="hr-HR"/>
        </w:rPr>
      </w:pPr>
      <w:r w:rsidRPr="00CF4172">
        <w:rPr>
          <w:rFonts w:asciiTheme="minorHAnsi" w:hAnsiTheme="minorHAnsi"/>
          <w:lang w:val="en-AU" w:eastAsia="hr-HR"/>
        </w:rPr>
        <w:t>Ensure compliance with international norms for storage, transport, and refueling.</w:t>
      </w:r>
    </w:p>
    <w:p w14:paraId="20AE6F35" w14:textId="77777777" w:rsidR="0003194E" w:rsidRPr="00CF4172" w:rsidRDefault="0003194E" w:rsidP="00B63AA4">
      <w:pPr>
        <w:numPr>
          <w:ilvl w:val="1"/>
          <w:numId w:val="73"/>
        </w:numPr>
        <w:spacing w:before="100" w:beforeAutospacing="1" w:after="100" w:afterAutospacing="1"/>
        <w:ind w:right="0"/>
        <w:jc w:val="left"/>
        <w:rPr>
          <w:rFonts w:asciiTheme="minorHAnsi" w:hAnsiTheme="minorHAnsi"/>
          <w:lang w:val="en-AU" w:eastAsia="hr-HR"/>
        </w:rPr>
      </w:pPr>
      <w:r w:rsidRPr="00CF4172">
        <w:rPr>
          <w:rFonts w:asciiTheme="minorHAnsi" w:hAnsiTheme="minorHAnsi"/>
          <w:lang w:val="en-AU" w:eastAsia="hr-HR"/>
        </w:rPr>
        <w:lastRenderedPageBreak/>
        <w:t>Develop training programs for emergency services and technical personnel.</w:t>
      </w:r>
    </w:p>
    <w:p w14:paraId="5EED1925" w14:textId="77777777" w:rsidR="0003194E" w:rsidRPr="00CF4172" w:rsidRDefault="0003194E" w:rsidP="00B63AA4">
      <w:pPr>
        <w:numPr>
          <w:ilvl w:val="0"/>
          <w:numId w:val="73"/>
        </w:numPr>
        <w:spacing w:before="100" w:beforeAutospacing="1" w:after="100" w:afterAutospacing="1"/>
        <w:ind w:right="0"/>
        <w:jc w:val="left"/>
        <w:rPr>
          <w:rFonts w:asciiTheme="minorHAnsi" w:hAnsiTheme="minorHAnsi"/>
          <w:lang w:val="en-AU" w:eastAsia="hr-HR"/>
        </w:rPr>
      </w:pPr>
      <w:r w:rsidRPr="00CF4172">
        <w:rPr>
          <w:rFonts w:asciiTheme="minorHAnsi" w:hAnsiTheme="minorHAnsi"/>
          <w:b/>
          <w:bCs/>
          <w:lang w:val="en-AU" w:eastAsia="hr-HR"/>
        </w:rPr>
        <w:t>Enhance Public Awareness and Acceptance</w:t>
      </w:r>
    </w:p>
    <w:p w14:paraId="48EA98ED" w14:textId="77777777" w:rsidR="0003194E" w:rsidRPr="00CF4172" w:rsidRDefault="0003194E" w:rsidP="00B63AA4">
      <w:pPr>
        <w:numPr>
          <w:ilvl w:val="1"/>
          <w:numId w:val="73"/>
        </w:numPr>
        <w:spacing w:before="100" w:beforeAutospacing="1" w:after="100" w:afterAutospacing="1"/>
        <w:ind w:right="0"/>
        <w:jc w:val="left"/>
        <w:rPr>
          <w:rFonts w:asciiTheme="minorHAnsi" w:hAnsiTheme="minorHAnsi"/>
          <w:lang w:val="en-AU" w:eastAsia="hr-HR"/>
        </w:rPr>
      </w:pPr>
      <w:r w:rsidRPr="00CF4172">
        <w:rPr>
          <w:rFonts w:asciiTheme="minorHAnsi" w:hAnsiTheme="minorHAnsi"/>
          <w:lang w:val="en-AU" w:eastAsia="hr-HR"/>
        </w:rPr>
        <w:t>Implement communication campaigns highlighting hydrogen’s safety, climate, and economic benefits.</w:t>
      </w:r>
    </w:p>
    <w:p w14:paraId="6AF998EE" w14:textId="77777777" w:rsidR="0003194E" w:rsidRPr="00CF4172" w:rsidRDefault="0003194E" w:rsidP="00B63AA4">
      <w:pPr>
        <w:numPr>
          <w:ilvl w:val="1"/>
          <w:numId w:val="73"/>
        </w:numPr>
        <w:spacing w:before="100" w:beforeAutospacing="1" w:after="100" w:afterAutospacing="1"/>
        <w:ind w:right="0"/>
        <w:jc w:val="left"/>
        <w:rPr>
          <w:rFonts w:asciiTheme="minorHAnsi" w:hAnsiTheme="minorHAnsi"/>
          <w:lang w:val="en-AU" w:eastAsia="hr-HR"/>
        </w:rPr>
      </w:pPr>
      <w:r w:rsidRPr="00CF4172">
        <w:rPr>
          <w:rFonts w:asciiTheme="minorHAnsi" w:hAnsiTheme="minorHAnsi"/>
          <w:lang w:val="en-AU" w:eastAsia="hr-HR"/>
        </w:rPr>
        <w:t>Engage local communities early in project development.</w:t>
      </w:r>
    </w:p>
    <w:p w14:paraId="608E0216" w14:textId="77777777" w:rsidR="0003194E" w:rsidRPr="00CF4172" w:rsidRDefault="0003194E" w:rsidP="00B63AA4">
      <w:pPr>
        <w:spacing w:before="100" w:beforeAutospacing="1" w:after="100" w:afterAutospacing="1"/>
        <w:ind w:left="0" w:right="0"/>
        <w:jc w:val="left"/>
        <w:outlineLvl w:val="3"/>
        <w:rPr>
          <w:rFonts w:asciiTheme="minorHAnsi" w:hAnsiTheme="minorHAnsi"/>
          <w:b/>
          <w:bCs/>
          <w:lang w:val="en-AU" w:eastAsia="hr-HR"/>
        </w:rPr>
      </w:pPr>
      <w:r w:rsidRPr="00CF4172">
        <w:rPr>
          <w:rFonts w:asciiTheme="minorHAnsi" w:hAnsiTheme="minorHAnsi"/>
          <w:b/>
          <w:bCs/>
          <w:lang w:val="en-AU" w:eastAsia="hr-HR"/>
        </w:rPr>
        <w:t>3.5. Financing and Investment Facilitation</w:t>
      </w:r>
    </w:p>
    <w:p w14:paraId="42F2F124" w14:textId="77777777" w:rsidR="0003194E" w:rsidRPr="00CF4172" w:rsidRDefault="0003194E" w:rsidP="00B63AA4">
      <w:pPr>
        <w:numPr>
          <w:ilvl w:val="0"/>
          <w:numId w:val="74"/>
        </w:numPr>
        <w:spacing w:before="100" w:beforeAutospacing="1" w:after="100" w:afterAutospacing="1"/>
        <w:ind w:right="0"/>
        <w:jc w:val="left"/>
        <w:rPr>
          <w:rFonts w:asciiTheme="minorHAnsi" w:hAnsiTheme="minorHAnsi"/>
          <w:lang w:val="en-AU" w:eastAsia="hr-HR"/>
        </w:rPr>
      </w:pPr>
      <w:r w:rsidRPr="00CF4172">
        <w:rPr>
          <w:rFonts w:asciiTheme="minorHAnsi" w:hAnsiTheme="minorHAnsi"/>
          <w:b/>
          <w:bCs/>
          <w:lang w:val="en-AU" w:eastAsia="hr-HR"/>
        </w:rPr>
        <w:t>Leverage EU and National Funding Mechanisms</w:t>
      </w:r>
    </w:p>
    <w:p w14:paraId="7D19C22C" w14:textId="77777777" w:rsidR="0003194E" w:rsidRPr="00CF4172" w:rsidRDefault="0003194E" w:rsidP="00B63AA4">
      <w:pPr>
        <w:numPr>
          <w:ilvl w:val="1"/>
          <w:numId w:val="74"/>
        </w:numPr>
        <w:spacing w:before="100" w:beforeAutospacing="1" w:after="100" w:afterAutospacing="1"/>
        <w:ind w:right="0"/>
        <w:jc w:val="left"/>
        <w:rPr>
          <w:rFonts w:asciiTheme="minorHAnsi" w:hAnsiTheme="minorHAnsi"/>
          <w:lang w:val="en-AU" w:eastAsia="hr-HR"/>
        </w:rPr>
      </w:pPr>
      <w:r w:rsidRPr="00CF4172">
        <w:rPr>
          <w:rFonts w:asciiTheme="minorHAnsi" w:hAnsiTheme="minorHAnsi"/>
          <w:lang w:val="en-AU" w:eastAsia="hr-HR"/>
        </w:rPr>
        <w:t xml:space="preserve">Integrate hydrogen projects within the </w:t>
      </w:r>
      <w:r w:rsidRPr="00CF4172">
        <w:rPr>
          <w:rFonts w:asciiTheme="minorHAnsi" w:hAnsiTheme="minorHAnsi"/>
          <w:b/>
          <w:bCs/>
          <w:lang w:val="en-AU" w:eastAsia="hr-HR"/>
        </w:rPr>
        <w:t>Modernisation Fund</w:t>
      </w:r>
      <w:r w:rsidRPr="00CF4172">
        <w:rPr>
          <w:rFonts w:asciiTheme="minorHAnsi" w:hAnsiTheme="minorHAnsi"/>
          <w:lang w:val="en-AU" w:eastAsia="hr-HR"/>
        </w:rPr>
        <w:t xml:space="preserve">, </w:t>
      </w:r>
      <w:r w:rsidRPr="00CF4172">
        <w:rPr>
          <w:rFonts w:asciiTheme="minorHAnsi" w:hAnsiTheme="minorHAnsi"/>
          <w:b/>
          <w:bCs/>
          <w:lang w:val="en-AU" w:eastAsia="hr-HR"/>
        </w:rPr>
        <w:t>Innovation Fund</w:t>
      </w:r>
      <w:r w:rsidRPr="00CF4172">
        <w:rPr>
          <w:rFonts w:asciiTheme="minorHAnsi" w:hAnsiTheme="minorHAnsi"/>
          <w:lang w:val="en-AU" w:eastAsia="hr-HR"/>
        </w:rPr>
        <w:t xml:space="preserve">, and </w:t>
      </w:r>
      <w:r w:rsidRPr="00CF4172">
        <w:rPr>
          <w:rFonts w:asciiTheme="minorHAnsi" w:hAnsiTheme="minorHAnsi"/>
          <w:b/>
          <w:bCs/>
          <w:lang w:val="en-AU" w:eastAsia="hr-HR"/>
        </w:rPr>
        <w:t>Cohesion Policy</w:t>
      </w:r>
      <w:r w:rsidRPr="00CF4172">
        <w:rPr>
          <w:rFonts w:asciiTheme="minorHAnsi" w:hAnsiTheme="minorHAnsi"/>
          <w:lang w:val="en-AU" w:eastAsia="hr-HR"/>
        </w:rPr>
        <w:t xml:space="preserve"> programs.</w:t>
      </w:r>
    </w:p>
    <w:p w14:paraId="603B18DB" w14:textId="77777777" w:rsidR="0003194E" w:rsidRPr="00CF4172" w:rsidRDefault="0003194E" w:rsidP="00B63AA4">
      <w:pPr>
        <w:numPr>
          <w:ilvl w:val="1"/>
          <w:numId w:val="74"/>
        </w:numPr>
        <w:spacing w:before="100" w:beforeAutospacing="1" w:after="100" w:afterAutospacing="1"/>
        <w:ind w:right="0"/>
        <w:jc w:val="left"/>
        <w:rPr>
          <w:rFonts w:asciiTheme="minorHAnsi" w:hAnsiTheme="minorHAnsi"/>
          <w:lang w:val="en-AU" w:eastAsia="hr-HR"/>
        </w:rPr>
      </w:pPr>
      <w:r w:rsidRPr="00CF4172">
        <w:rPr>
          <w:rFonts w:asciiTheme="minorHAnsi" w:hAnsiTheme="minorHAnsi"/>
          <w:lang w:val="en-AU" w:eastAsia="hr-HR"/>
        </w:rPr>
        <w:t xml:space="preserve">Support participation in </w:t>
      </w:r>
      <w:r w:rsidRPr="00CF4172">
        <w:rPr>
          <w:rFonts w:asciiTheme="minorHAnsi" w:hAnsiTheme="minorHAnsi"/>
          <w:b/>
          <w:bCs/>
          <w:lang w:val="en-AU" w:eastAsia="hr-HR"/>
        </w:rPr>
        <w:t>IPCEI Hydrogen</w:t>
      </w:r>
      <w:r w:rsidRPr="00CF4172">
        <w:rPr>
          <w:rFonts w:asciiTheme="minorHAnsi" w:hAnsiTheme="minorHAnsi"/>
          <w:lang w:val="en-AU" w:eastAsia="hr-HR"/>
        </w:rPr>
        <w:t xml:space="preserve"> and </w:t>
      </w:r>
      <w:r w:rsidRPr="00CF4172">
        <w:rPr>
          <w:rFonts w:asciiTheme="minorHAnsi" w:hAnsiTheme="minorHAnsi"/>
          <w:b/>
          <w:bCs/>
          <w:lang w:val="en-AU" w:eastAsia="hr-HR"/>
        </w:rPr>
        <w:t>INTERREG transnational cooperation</w:t>
      </w:r>
      <w:r w:rsidRPr="00CF4172">
        <w:rPr>
          <w:rFonts w:asciiTheme="minorHAnsi" w:hAnsiTheme="minorHAnsi"/>
          <w:lang w:val="en-AU" w:eastAsia="hr-HR"/>
        </w:rPr>
        <w:t>.</w:t>
      </w:r>
    </w:p>
    <w:p w14:paraId="56356199" w14:textId="77777777" w:rsidR="0003194E" w:rsidRPr="00CF4172" w:rsidRDefault="0003194E" w:rsidP="00B63AA4">
      <w:pPr>
        <w:numPr>
          <w:ilvl w:val="0"/>
          <w:numId w:val="74"/>
        </w:numPr>
        <w:spacing w:before="100" w:beforeAutospacing="1" w:after="100" w:afterAutospacing="1"/>
        <w:ind w:right="0"/>
        <w:jc w:val="left"/>
        <w:rPr>
          <w:rFonts w:asciiTheme="minorHAnsi" w:hAnsiTheme="minorHAnsi"/>
          <w:lang w:val="en-AU" w:eastAsia="hr-HR"/>
        </w:rPr>
      </w:pPr>
      <w:r w:rsidRPr="00CF4172">
        <w:rPr>
          <w:rFonts w:asciiTheme="minorHAnsi" w:hAnsiTheme="minorHAnsi"/>
          <w:b/>
          <w:bCs/>
          <w:lang w:val="en-AU" w:eastAsia="hr-HR"/>
        </w:rPr>
        <w:t>Establish a National Hydrogen Investment Platform</w:t>
      </w:r>
    </w:p>
    <w:p w14:paraId="58EE14D4" w14:textId="77777777" w:rsidR="0003194E" w:rsidRPr="00CF4172" w:rsidRDefault="0003194E" w:rsidP="00B63AA4">
      <w:pPr>
        <w:numPr>
          <w:ilvl w:val="1"/>
          <w:numId w:val="74"/>
        </w:numPr>
        <w:spacing w:before="100" w:beforeAutospacing="1" w:after="100" w:afterAutospacing="1"/>
        <w:ind w:right="0"/>
        <w:jc w:val="left"/>
        <w:rPr>
          <w:rFonts w:asciiTheme="minorHAnsi" w:hAnsiTheme="minorHAnsi"/>
          <w:lang w:val="en-AU" w:eastAsia="hr-HR"/>
        </w:rPr>
      </w:pPr>
      <w:r w:rsidRPr="00CF4172">
        <w:rPr>
          <w:rFonts w:asciiTheme="minorHAnsi" w:hAnsiTheme="minorHAnsi"/>
          <w:lang w:val="en-AU" w:eastAsia="hr-HR"/>
        </w:rPr>
        <w:t>Facilitate public-private partnerships and connect investors with viable projects.</w:t>
      </w:r>
    </w:p>
    <w:p w14:paraId="40A1F896" w14:textId="77777777" w:rsidR="0003194E" w:rsidRPr="00CF4172" w:rsidRDefault="0003194E" w:rsidP="00B63AA4">
      <w:pPr>
        <w:numPr>
          <w:ilvl w:val="1"/>
          <w:numId w:val="74"/>
        </w:numPr>
        <w:spacing w:before="100" w:beforeAutospacing="1" w:after="100" w:afterAutospacing="1"/>
        <w:ind w:right="0"/>
        <w:jc w:val="left"/>
        <w:rPr>
          <w:rFonts w:asciiTheme="minorHAnsi" w:hAnsiTheme="minorHAnsi"/>
          <w:lang w:val="en-AU" w:eastAsia="hr-HR"/>
        </w:rPr>
      </w:pPr>
      <w:r w:rsidRPr="00CF4172">
        <w:rPr>
          <w:rFonts w:asciiTheme="minorHAnsi" w:hAnsiTheme="minorHAnsi"/>
          <w:lang w:val="en-AU" w:eastAsia="hr-HR"/>
        </w:rPr>
        <w:t>Provide de-risking instruments such as guarantees and green bonds.</w:t>
      </w:r>
    </w:p>
    <w:p w14:paraId="0D859CAF" w14:textId="77777777" w:rsidR="0003194E" w:rsidRPr="00CF4172" w:rsidRDefault="0003194E" w:rsidP="00B63AA4">
      <w:pPr>
        <w:spacing w:before="100" w:beforeAutospacing="1" w:after="100" w:afterAutospacing="1"/>
        <w:ind w:left="0" w:right="0"/>
        <w:jc w:val="left"/>
        <w:rPr>
          <w:rFonts w:asciiTheme="minorHAnsi" w:hAnsiTheme="minorHAnsi"/>
          <w:lang w:val="en-AU" w:eastAsia="hr-HR"/>
        </w:rPr>
      </w:pPr>
      <w:r w:rsidRPr="00CF4172">
        <w:rPr>
          <w:rFonts w:asciiTheme="minorHAnsi" w:hAnsiTheme="minorHAnsi"/>
          <w:lang w:val="en-AU" w:eastAsia="hr-HR"/>
        </w:rPr>
        <w:t xml:space="preserve">For Croatia to become an effective participant in the </w:t>
      </w:r>
      <w:r w:rsidRPr="00CF4172">
        <w:rPr>
          <w:rFonts w:asciiTheme="minorHAnsi" w:hAnsiTheme="minorHAnsi"/>
          <w:b/>
          <w:bCs/>
          <w:lang w:val="en-AU" w:eastAsia="hr-HR"/>
        </w:rPr>
        <w:t>European hydrogen ecosystem</w:t>
      </w:r>
      <w:r w:rsidRPr="00CF4172">
        <w:rPr>
          <w:rFonts w:asciiTheme="minorHAnsi" w:hAnsiTheme="minorHAnsi"/>
          <w:lang w:val="en-AU" w:eastAsia="hr-HR"/>
        </w:rPr>
        <w:t>, coordinated interregional actions are essential. The following recommendations aim to enhance cross-border alignment and maximize synergies with EU projects.</w:t>
      </w:r>
    </w:p>
    <w:p w14:paraId="59D89980" w14:textId="77777777" w:rsidR="0003194E" w:rsidRPr="00CF4172" w:rsidRDefault="0003194E" w:rsidP="00B63AA4">
      <w:pPr>
        <w:numPr>
          <w:ilvl w:val="0"/>
          <w:numId w:val="75"/>
        </w:numPr>
        <w:spacing w:before="100" w:beforeAutospacing="1" w:after="100" w:afterAutospacing="1"/>
        <w:ind w:right="0"/>
        <w:jc w:val="left"/>
        <w:rPr>
          <w:rFonts w:asciiTheme="minorHAnsi" w:hAnsiTheme="minorHAnsi"/>
          <w:lang w:val="en-AU" w:eastAsia="hr-HR"/>
        </w:rPr>
      </w:pPr>
      <w:r w:rsidRPr="00CF4172">
        <w:rPr>
          <w:rFonts w:asciiTheme="minorHAnsi" w:hAnsiTheme="minorHAnsi"/>
          <w:b/>
          <w:bCs/>
          <w:lang w:val="en-AU" w:eastAsia="hr-HR"/>
        </w:rPr>
        <w:t>Develop an Interregional Hydrogen Roadmap</w:t>
      </w:r>
    </w:p>
    <w:p w14:paraId="6585989E" w14:textId="77777777" w:rsidR="0003194E" w:rsidRPr="00CF4172" w:rsidRDefault="0003194E" w:rsidP="00B63AA4">
      <w:pPr>
        <w:numPr>
          <w:ilvl w:val="1"/>
          <w:numId w:val="75"/>
        </w:numPr>
        <w:spacing w:before="100" w:beforeAutospacing="1" w:after="100" w:afterAutospacing="1"/>
        <w:ind w:right="0"/>
        <w:jc w:val="left"/>
        <w:rPr>
          <w:rFonts w:asciiTheme="minorHAnsi" w:hAnsiTheme="minorHAnsi"/>
          <w:lang w:val="en-AU" w:eastAsia="hr-HR"/>
        </w:rPr>
      </w:pPr>
      <w:r w:rsidRPr="00CF4172">
        <w:rPr>
          <w:rFonts w:asciiTheme="minorHAnsi" w:hAnsiTheme="minorHAnsi"/>
          <w:lang w:val="en-AU" w:eastAsia="hr-HR"/>
        </w:rPr>
        <w:t>Align national infrastructure plans with neighboring Member States.</w:t>
      </w:r>
    </w:p>
    <w:p w14:paraId="513CCC6D" w14:textId="77777777" w:rsidR="0003194E" w:rsidRPr="00CF4172" w:rsidRDefault="0003194E" w:rsidP="00B63AA4">
      <w:pPr>
        <w:numPr>
          <w:ilvl w:val="1"/>
          <w:numId w:val="75"/>
        </w:numPr>
        <w:spacing w:before="100" w:beforeAutospacing="1" w:after="100" w:afterAutospacing="1"/>
        <w:ind w:right="0"/>
        <w:jc w:val="left"/>
        <w:rPr>
          <w:rFonts w:asciiTheme="minorHAnsi" w:hAnsiTheme="minorHAnsi"/>
          <w:lang w:val="en-AU" w:eastAsia="hr-HR"/>
        </w:rPr>
      </w:pPr>
      <w:r w:rsidRPr="00CF4172">
        <w:rPr>
          <w:rFonts w:asciiTheme="minorHAnsi" w:hAnsiTheme="minorHAnsi"/>
          <w:lang w:val="en-AU" w:eastAsia="hr-HR"/>
        </w:rPr>
        <w:t>Identify cross-border hydrogen corridors and joint investment opportunities.</w:t>
      </w:r>
    </w:p>
    <w:p w14:paraId="247B4213" w14:textId="77777777" w:rsidR="0003194E" w:rsidRPr="00CF4172" w:rsidRDefault="0003194E" w:rsidP="00B63AA4">
      <w:pPr>
        <w:numPr>
          <w:ilvl w:val="0"/>
          <w:numId w:val="75"/>
        </w:numPr>
        <w:spacing w:before="100" w:beforeAutospacing="1" w:after="100" w:afterAutospacing="1"/>
        <w:ind w:right="0"/>
        <w:jc w:val="left"/>
        <w:rPr>
          <w:rFonts w:asciiTheme="minorHAnsi" w:hAnsiTheme="minorHAnsi"/>
          <w:lang w:val="en-AU" w:eastAsia="hr-HR"/>
        </w:rPr>
      </w:pPr>
      <w:r w:rsidRPr="00CF4172">
        <w:rPr>
          <w:rFonts w:asciiTheme="minorHAnsi" w:hAnsiTheme="minorHAnsi"/>
          <w:b/>
          <w:bCs/>
          <w:lang w:val="en-AU" w:eastAsia="hr-HR"/>
        </w:rPr>
        <w:t>Establish Common Certification and Market Rules</w:t>
      </w:r>
    </w:p>
    <w:p w14:paraId="27A28987" w14:textId="77777777" w:rsidR="0003194E" w:rsidRPr="00CF4172" w:rsidRDefault="0003194E" w:rsidP="00B63AA4">
      <w:pPr>
        <w:numPr>
          <w:ilvl w:val="1"/>
          <w:numId w:val="75"/>
        </w:numPr>
        <w:spacing w:before="100" w:beforeAutospacing="1" w:after="100" w:afterAutospacing="1"/>
        <w:ind w:right="0"/>
        <w:jc w:val="left"/>
        <w:rPr>
          <w:rFonts w:asciiTheme="minorHAnsi" w:hAnsiTheme="minorHAnsi"/>
          <w:lang w:val="en-AU" w:eastAsia="hr-HR"/>
        </w:rPr>
      </w:pPr>
      <w:r w:rsidRPr="00CF4172">
        <w:rPr>
          <w:rFonts w:asciiTheme="minorHAnsi" w:hAnsiTheme="minorHAnsi"/>
          <w:lang w:val="en-AU" w:eastAsia="hr-HR"/>
        </w:rPr>
        <w:t>Work with regional partners to ensure mutual recognition of renewable hydrogen certification and guarantees of origin.</w:t>
      </w:r>
    </w:p>
    <w:p w14:paraId="2182C37B" w14:textId="77777777" w:rsidR="0003194E" w:rsidRPr="00CF4172" w:rsidRDefault="0003194E" w:rsidP="00B63AA4">
      <w:pPr>
        <w:numPr>
          <w:ilvl w:val="0"/>
          <w:numId w:val="75"/>
        </w:numPr>
        <w:spacing w:before="100" w:beforeAutospacing="1" w:after="100" w:afterAutospacing="1"/>
        <w:ind w:right="0"/>
        <w:jc w:val="left"/>
        <w:rPr>
          <w:rFonts w:asciiTheme="minorHAnsi" w:hAnsiTheme="minorHAnsi"/>
          <w:lang w:val="en-AU" w:eastAsia="hr-HR"/>
        </w:rPr>
      </w:pPr>
      <w:r w:rsidRPr="00CF4172">
        <w:rPr>
          <w:rFonts w:asciiTheme="minorHAnsi" w:hAnsiTheme="minorHAnsi"/>
          <w:b/>
          <w:bCs/>
          <w:lang w:val="en-AU" w:eastAsia="hr-HR"/>
        </w:rPr>
        <w:t>Participate Actively in European Platforms</w:t>
      </w:r>
    </w:p>
    <w:p w14:paraId="30920B71" w14:textId="77777777" w:rsidR="0003194E" w:rsidRPr="00CF4172" w:rsidRDefault="0003194E" w:rsidP="00B63AA4">
      <w:pPr>
        <w:numPr>
          <w:ilvl w:val="1"/>
          <w:numId w:val="75"/>
        </w:numPr>
        <w:spacing w:before="100" w:beforeAutospacing="1" w:after="100" w:afterAutospacing="1"/>
        <w:ind w:right="0"/>
        <w:jc w:val="left"/>
        <w:rPr>
          <w:rFonts w:asciiTheme="minorHAnsi" w:hAnsiTheme="minorHAnsi"/>
          <w:lang w:val="en-AU" w:eastAsia="hr-HR"/>
        </w:rPr>
      </w:pPr>
      <w:r w:rsidRPr="00CF4172">
        <w:rPr>
          <w:rFonts w:asciiTheme="minorHAnsi" w:hAnsiTheme="minorHAnsi"/>
          <w:lang w:val="en-AU" w:eastAsia="hr-HR"/>
        </w:rPr>
        <w:t xml:space="preserve">Engage in the </w:t>
      </w:r>
      <w:r w:rsidRPr="00CF4172">
        <w:rPr>
          <w:rFonts w:asciiTheme="minorHAnsi" w:hAnsiTheme="minorHAnsi"/>
          <w:b/>
          <w:bCs/>
          <w:lang w:val="en-AU" w:eastAsia="hr-HR"/>
        </w:rPr>
        <w:t>European Clean Hydrogen Alliance</w:t>
      </w:r>
      <w:r w:rsidRPr="00CF4172">
        <w:rPr>
          <w:rFonts w:asciiTheme="minorHAnsi" w:hAnsiTheme="minorHAnsi"/>
          <w:lang w:val="en-AU" w:eastAsia="hr-HR"/>
        </w:rPr>
        <w:t xml:space="preserve">, </w:t>
      </w:r>
      <w:r w:rsidRPr="00CF4172">
        <w:rPr>
          <w:rFonts w:asciiTheme="minorHAnsi" w:hAnsiTheme="minorHAnsi"/>
          <w:b/>
          <w:bCs/>
          <w:lang w:val="en-AU" w:eastAsia="hr-HR"/>
        </w:rPr>
        <w:t>EHB Initiative</w:t>
      </w:r>
      <w:r w:rsidRPr="00CF4172">
        <w:rPr>
          <w:rFonts w:asciiTheme="minorHAnsi" w:hAnsiTheme="minorHAnsi"/>
          <w:lang w:val="en-AU" w:eastAsia="hr-HR"/>
        </w:rPr>
        <w:t xml:space="preserve">, and </w:t>
      </w:r>
      <w:r w:rsidRPr="00CF4172">
        <w:rPr>
          <w:rFonts w:asciiTheme="minorHAnsi" w:hAnsiTheme="minorHAnsi"/>
          <w:b/>
          <w:bCs/>
          <w:lang w:val="en-AU" w:eastAsia="hr-HR"/>
        </w:rPr>
        <w:t>Hydrogen Valleys Partnership</w:t>
      </w:r>
      <w:r w:rsidRPr="00CF4172">
        <w:rPr>
          <w:rFonts w:asciiTheme="minorHAnsi" w:hAnsiTheme="minorHAnsi"/>
          <w:lang w:val="en-AU" w:eastAsia="hr-HR"/>
        </w:rPr>
        <w:t xml:space="preserve"> to share best practices and technical knowledge.</w:t>
      </w:r>
    </w:p>
    <w:p w14:paraId="6DCDCC02" w14:textId="77777777" w:rsidR="0003194E" w:rsidRPr="00CF4172" w:rsidRDefault="0003194E" w:rsidP="00B63AA4">
      <w:pPr>
        <w:numPr>
          <w:ilvl w:val="0"/>
          <w:numId w:val="75"/>
        </w:numPr>
        <w:spacing w:before="100" w:beforeAutospacing="1" w:after="100" w:afterAutospacing="1"/>
        <w:ind w:right="0"/>
        <w:jc w:val="left"/>
        <w:rPr>
          <w:rFonts w:asciiTheme="minorHAnsi" w:hAnsiTheme="minorHAnsi"/>
          <w:lang w:val="en-AU" w:eastAsia="hr-HR"/>
        </w:rPr>
      </w:pPr>
      <w:r w:rsidRPr="00CF4172">
        <w:rPr>
          <w:rFonts w:asciiTheme="minorHAnsi" w:hAnsiTheme="minorHAnsi"/>
          <w:b/>
          <w:bCs/>
          <w:lang w:val="en-AU" w:eastAsia="hr-HR"/>
        </w:rPr>
        <w:t>Promote Regional Hydrogen Valleys</w:t>
      </w:r>
    </w:p>
    <w:p w14:paraId="0B186064" w14:textId="77777777" w:rsidR="0003194E" w:rsidRPr="00CF4172" w:rsidRDefault="0003194E" w:rsidP="00B63AA4">
      <w:pPr>
        <w:numPr>
          <w:ilvl w:val="1"/>
          <w:numId w:val="75"/>
        </w:numPr>
        <w:spacing w:before="100" w:beforeAutospacing="1" w:after="100" w:afterAutospacing="1"/>
        <w:ind w:right="0"/>
        <w:jc w:val="left"/>
        <w:rPr>
          <w:rFonts w:asciiTheme="minorHAnsi" w:hAnsiTheme="minorHAnsi"/>
          <w:lang w:val="en-AU" w:eastAsia="hr-HR"/>
        </w:rPr>
      </w:pPr>
      <w:r w:rsidRPr="00CF4172">
        <w:rPr>
          <w:rFonts w:asciiTheme="minorHAnsi" w:hAnsiTheme="minorHAnsi"/>
          <w:lang w:val="en-AU" w:eastAsia="hr-HR"/>
        </w:rPr>
        <w:t>Support integrated projects that connect renewable production, industrial users, and transport applications across borders.</w:t>
      </w:r>
    </w:p>
    <w:p w14:paraId="413692F3" w14:textId="77777777" w:rsidR="0003194E" w:rsidRPr="00CF4172" w:rsidRDefault="0003194E" w:rsidP="00B63AA4">
      <w:pPr>
        <w:numPr>
          <w:ilvl w:val="0"/>
          <w:numId w:val="75"/>
        </w:numPr>
        <w:spacing w:before="100" w:beforeAutospacing="1" w:after="100" w:afterAutospacing="1"/>
        <w:ind w:right="0"/>
        <w:jc w:val="left"/>
        <w:rPr>
          <w:rFonts w:asciiTheme="minorHAnsi" w:hAnsiTheme="minorHAnsi"/>
          <w:lang w:val="en-AU" w:eastAsia="hr-HR"/>
        </w:rPr>
      </w:pPr>
      <w:r w:rsidRPr="00CF4172">
        <w:rPr>
          <w:rFonts w:asciiTheme="minorHAnsi" w:hAnsiTheme="minorHAnsi"/>
          <w:b/>
          <w:bCs/>
          <w:lang w:val="en-AU" w:eastAsia="hr-HR"/>
        </w:rPr>
        <w:t>Encourage Knowledge Exchange and Capacity Building</w:t>
      </w:r>
    </w:p>
    <w:p w14:paraId="65B05E13" w14:textId="77777777" w:rsidR="0003194E" w:rsidRPr="00CF4172" w:rsidRDefault="0003194E" w:rsidP="00B63AA4">
      <w:pPr>
        <w:numPr>
          <w:ilvl w:val="1"/>
          <w:numId w:val="75"/>
        </w:numPr>
        <w:spacing w:before="100" w:beforeAutospacing="1" w:after="100" w:afterAutospacing="1"/>
        <w:ind w:right="0"/>
        <w:jc w:val="left"/>
        <w:rPr>
          <w:rFonts w:asciiTheme="minorHAnsi" w:hAnsiTheme="minorHAnsi"/>
          <w:lang w:val="en-AU" w:eastAsia="hr-HR"/>
        </w:rPr>
      </w:pPr>
      <w:r w:rsidRPr="00CF4172">
        <w:rPr>
          <w:rFonts w:asciiTheme="minorHAnsi" w:hAnsiTheme="minorHAnsi"/>
          <w:lang w:val="en-AU" w:eastAsia="hr-HR"/>
        </w:rPr>
        <w:t>Create regional centers of excellence for hydrogen regulation, R&amp;D, and workforce training.</w:t>
      </w:r>
    </w:p>
    <w:p w14:paraId="3A15EB06" w14:textId="77777777" w:rsidR="0003194E" w:rsidRPr="00CF4172" w:rsidRDefault="0003194E" w:rsidP="00B63AA4">
      <w:pPr>
        <w:numPr>
          <w:ilvl w:val="1"/>
          <w:numId w:val="75"/>
        </w:numPr>
        <w:spacing w:before="100" w:beforeAutospacing="1" w:after="100" w:afterAutospacing="1"/>
        <w:ind w:right="0"/>
        <w:jc w:val="left"/>
        <w:rPr>
          <w:rFonts w:asciiTheme="minorHAnsi" w:hAnsiTheme="minorHAnsi"/>
          <w:lang w:val="en-AU" w:eastAsia="hr-HR"/>
        </w:rPr>
      </w:pPr>
      <w:r w:rsidRPr="00CF4172">
        <w:rPr>
          <w:rFonts w:asciiTheme="minorHAnsi" w:hAnsiTheme="minorHAnsi"/>
          <w:lang w:val="en-AU" w:eastAsia="hr-HR"/>
        </w:rPr>
        <w:t>Foster collaboration between universities, public institutions, and private companies.</w:t>
      </w:r>
    </w:p>
    <w:p w14:paraId="3B4558DD" w14:textId="77777777" w:rsidR="0003194E" w:rsidRPr="00CF4172" w:rsidRDefault="0003194E" w:rsidP="00B63AA4">
      <w:pPr>
        <w:spacing w:before="100" w:beforeAutospacing="1" w:after="100" w:afterAutospacing="1"/>
        <w:ind w:left="0" w:right="0"/>
        <w:jc w:val="left"/>
        <w:rPr>
          <w:rFonts w:asciiTheme="minorHAnsi" w:hAnsiTheme="minorHAnsi"/>
          <w:lang w:val="en-AU" w:eastAsia="hr-HR"/>
        </w:rPr>
      </w:pPr>
      <w:r w:rsidRPr="00CF4172">
        <w:rPr>
          <w:rFonts w:asciiTheme="minorHAnsi" w:hAnsiTheme="minorHAnsi"/>
          <w:lang w:val="en-AU" w:eastAsia="hr-HR"/>
        </w:rPr>
        <w:t xml:space="preserve">Croatia’s strategic geographic position — connecting Central Europe, the Balkans, and the Mediterranean — provides a unique opportunity to act as a </w:t>
      </w:r>
      <w:r w:rsidRPr="00CF4172">
        <w:rPr>
          <w:rFonts w:asciiTheme="minorHAnsi" w:hAnsiTheme="minorHAnsi"/>
          <w:b/>
          <w:bCs/>
          <w:lang w:val="en-AU" w:eastAsia="hr-HR"/>
        </w:rPr>
        <w:t>hydrogen transit and production hub</w:t>
      </w:r>
      <w:r w:rsidRPr="00CF4172">
        <w:rPr>
          <w:rFonts w:asciiTheme="minorHAnsi" w:hAnsiTheme="minorHAnsi"/>
          <w:lang w:val="en-AU" w:eastAsia="hr-HR"/>
        </w:rPr>
        <w:t>.</w:t>
      </w:r>
    </w:p>
    <w:p w14:paraId="6E6ED9B8" w14:textId="77777777" w:rsidR="0003194E" w:rsidRPr="00CF4172" w:rsidRDefault="0003194E" w:rsidP="00B63AA4">
      <w:pPr>
        <w:spacing w:before="100" w:beforeAutospacing="1" w:after="100" w:afterAutospacing="1"/>
        <w:ind w:left="0" w:right="0"/>
        <w:jc w:val="left"/>
        <w:rPr>
          <w:rFonts w:asciiTheme="minorHAnsi" w:hAnsiTheme="minorHAnsi"/>
          <w:lang w:val="en-AU" w:eastAsia="hr-HR"/>
        </w:rPr>
      </w:pPr>
      <w:r w:rsidRPr="00CF4172">
        <w:rPr>
          <w:rFonts w:asciiTheme="minorHAnsi" w:hAnsiTheme="minorHAnsi"/>
          <w:lang w:val="en-AU" w:eastAsia="hr-HR"/>
        </w:rPr>
        <w:t>Through regulatory harmonization, Croatia can:</w:t>
      </w:r>
    </w:p>
    <w:p w14:paraId="2DA353F7" w14:textId="2506CC7F" w:rsidR="0003194E" w:rsidRPr="00CF4172" w:rsidRDefault="0003194E" w:rsidP="00B63AA4">
      <w:pPr>
        <w:numPr>
          <w:ilvl w:val="0"/>
          <w:numId w:val="76"/>
        </w:numPr>
        <w:spacing w:before="100" w:beforeAutospacing="1" w:after="100" w:afterAutospacing="1"/>
        <w:ind w:right="0"/>
        <w:jc w:val="left"/>
        <w:rPr>
          <w:rFonts w:asciiTheme="minorHAnsi" w:hAnsiTheme="minorHAnsi"/>
          <w:lang w:val="en-AU" w:eastAsia="hr-HR"/>
        </w:rPr>
      </w:pPr>
      <w:r w:rsidRPr="00CF4172">
        <w:rPr>
          <w:rFonts w:asciiTheme="minorHAnsi" w:hAnsiTheme="minorHAnsi"/>
          <w:lang w:val="en-AU" w:eastAsia="hr-HR"/>
        </w:rPr>
        <w:t xml:space="preserve">Facilitate the </w:t>
      </w:r>
      <w:r w:rsidRPr="00CF4172">
        <w:rPr>
          <w:rFonts w:asciiTheme="minorHAnsi" w:hAnsiTheme="minorHAnsi"/>
          <w:b/>
          <w:bCs/>
          <w:lang w:val="en-AU" w:eastAsia="hr-HR"/>
        </w:rPr>
        <w:t>flow of renewable hydrogen</w:t>
      </w:r>
      <w:r w:rsidRPr="00CF4172">
        <w:rPr>
          <w:rFonts w:asciiTheme="minorHAnsi" w:hAnsiTheme="minorHAnsi"/>
          <w:lang w:val="en-AU" w:eastAsia="hr-HR"/>
        </w:rPr>
        <w:t xml:space="preserve"> from the Adriatic coast to Central </w:t>
      </w:r>
      <w:r w:rsidR="00CF4172" w:rsidRPr="00CF4172">
        <w:rPr>
          <w:rFonts w:asciiTheme="minorHAnsi" w:hAnsiTheme="minorHAnsi"/>
          <w:lang w:val="en-AU" w:eastAsia="hr-HR"/>
        </w:rPr>
        <w:t>Europe.</w:t>
      </w:r>
    </w:p>
    <w:p w14:paraId="6DD908C3" w14:textId="6DD575BA" w:rsidR="0003194E" w:rsidRPr="00CF4172" w:rsidRDefault="0003194E" w:rsidP="00B63AA4">
      <w:pPr>
        <w:numPr>
          <w:ilvl w:val="0"/>
          <w:numId w:val="76"/>
        </w:numPr>
        <w:spacing w:before="100" w:beforeAutospacing="1" w:after="100" w:afterAutospacing="1"/>
        <w:ind w:right="0"/>
        <w:jc w:val="left"/>
        <w:rPr>
          <w:rFonts w:asciiTheme="minorHAnsi" w:hAnsiTheme="minorHAnsi"/>
          <w:lang w:val="en-AU" w:eastAsia="hr-HR"/>
        </w:rPr>
      </w:pPr>
      <w:r w:rsidRPr="00CF4172">
        <w:rPr>
          <w:rFonts w:asciiTheme="minorHAnsi" w:hAnsiTheme="minorHAnsi"/>
          <w:lang w:val="en-AU" w:eastAsia="hr-HR"/>
        </w:rPr>
        <w:t xml:space="preserve">Support </w:t>
      </w:r>
      <w:r w:rsidRPr="00CF4172">
        <w:rPr>
          <w:rFonts w:asciiTheme="minorHAnsi" w:hAnsiTheme="minorHAnsi"/>
          <w:b/>
          <w:bCs/>
          <w:lang w:val="en-AU" w:eastAsia="hr-HR"/>
        </w:rPr>
        <w:t>interregional supply chains</w:t>
      </w:r>
      <w:r w:rsidRPr="00CF4172">
        <w:rPr>
          <w:rFonts w:asciiTheme="minorHAnsi" w:hAnsiTheme="minorHAnsi"/>
          <w:lang w:val="en-AU" w:eastAsia="hr-HR"/>
        </w:rPr>
        <w:t xml:space="preserve"> for green industrial </w:t>
      </w:r>
      <w:r w:rsidR="00CF4172" w:rsidRPr="00CF4172">
        <w:rPr>
          <w:rFonts w:asciiTheme="minorHAnsi" w:hAnsiTheme="minorHAnsi"/>
          <w:lang w:val="en-AU" w:eastAsia="hr-HR"/>
        </w:rPr>
        <w:t>development.</w:t>
      </w:r>
    </w:p>
    <w:p w14:paraId="3A321F78" w14:textId="2A3B4DF3" w:rsidR="0003194E" w:rsidRPr="00CF4172" w:rsidRDefault="0003194E" w:rsidP="00B63AA4">
      <w:pPr>
        <w:numPr>
          <w:ilvl w:val="0"/>
          <w:numId w:val="76"/>
        </w:numPr>
        <w:spacing w:before="100" w:beforeAutospacing="1" w:after="100" w:afterAutospacing="1"/>
        <w:ind w:right="0"/>
        <w:jc w:val="left"/>
        <w:rPr>
          <w:rFonts w:asciiTheme="minorHAnsi" w:hAnsiTheme="minorHAnsi"/>
          <w:lang w:val="en-AU" w:eastAsia="hr-HR"/>
        </w:rPr>
      </w:pPr>
      <w:r w:rsidRPr="00CF4172">
        <w:rPr>
          <w:rFonts w:asciiTheme="minorHAnsi" w:hAnsiTheme="minorHAnsi"/>
          <w:lang w:val="en-AU" w:eastAsia="hr-HR"/>
        </w:rPr>
        <w:t xml:space="preserve">Contribute to </w:t>
      </w:r>
      <w:r w:rsidRPr="00CF4172">
        <w:rPr>
          <w:rFonts w:asciiTheme="minorHAnsi" w:hAnsiTheme="minorHAnsi"/>
          <w:b/>
          <w:bCs/>
          <w:lang w:val="en-AU" w:eastAsia="hr-HR"/>
        </w:rPr>
        <w:t>EU energy security and diversification goals</w:t>
      </w:r>
      <w:r w:rsidR="00BC4A44">
        <w:rPr>
          <w:rFonts w:asciiTheme="minorHAnsi" w:hAnsiTheme="minorHAnsi"/>
          <w:lang w:val="en-AU" w:eastAsia="hr-HR"/>
        </w:rPr>
        <w:t>,</w:t>
      </w:r>
      <w:r w:rsidRPr="00CF4172">
        <w:rPr>
          <w:rFonts w:asciiTheme="minorHAnsi" w:hAnsiTheme="minorHAnsi"/>
          <w:lang w:val="en-AU" w:eastAsia="hr-HR"/>
        </w:rPr>
        <w:t xml:space="preserve"> and</w:t>
      </w:r>
    </w:p>
    <w:p w14:paraId="2FEE1789" w14:textId="44E0BEF9" w:rsidR="0003194E" w:rsidRPr="00CF4172" w:rsidRDefault="0003194E" w:rsidP="00B63AA4">
      <w:pPr>
        <w:numPr>
          <w:ilvl w:val="0"/>
          <w:numId w:val="76"/>
        </w:numPr>
        <w:spacing w:before="100" w:beforeAutospacing="1" w:after="100" w:afterAutospacing="1"/>
        <w:ind w:right="0"/>
        <w:jc w:val="left"/>
        <w:rPr>
          <w:rFonts w:asciiTheme="minorHAnsi" w:hAnsiTheme="minorHAnsi"/>
          <w:lang w:val="en-AU" w:eastAsia="hr-HR"/>
        </w:rPr>
      </w:pPr>
      <w:r w:rsidRPr="00CF4172">
        <w:rPr>
          <w:rFonts w:asciiTheme="minorHAnsi" w:hAnsiTheme="minorHAnsi"/>
          <w:lang w:val="en-AU" w:eastAsia="hr-HR"/>
        </w:rPr>
        <w:t xml:space="preserve">Strengthen </w:t>
      </w:r>
      <w:r w:rsidRPr="00CF4172">
        <w:rPr>
          <w:rFonts w:asciiTheme="minorHAnsi" w:hAnsiTheme="minorHAnsi"/>
          <w:b/>
          <w:bCs/>
          <w:lang w:val="en-AU" w:eastAsia="hr-HR"/>
        </w:rPr>
        <w:t>cohesion and economic convergence</w:t>
      </w:r>
      <w:r w:rsidRPr="00CF4172">
        <w:rPr>
          <w:rFonts w:asciiTheme="minorHAnsi" w:hAnsiTheme="minorHAnsi"/>
          <w:lang w:val="en-AU" w:eastAsia="hr-HR"/>
        </w:rPr>
        <w:t xml:space="preserve"> among </w:t>
      </w:r>
      <w:r w:rsidR="00CF4172" w:rsidRPr="00CF4172">
        <w:rPr>
          <w:rFonts w:asciiTheme="minorHAnsi" w:hAnsiTheme="minorHAnsi"/>
          <w:lang w:val="en-AU" w:eastAsia="hr-HR"/>
        </w:rPr>
        <w:t>neighbouring</w:t>
      </w:r>
      <w:r w:rsidRPr="00CF4172">
        <w:rPr>
          <w:rFonts w:asciiTheme="minorHAnsi" w:hAnsiTheme="minorHAnsi"/>
          <w:lang w:val="en-AU" w:eastAsia="hr-HR"/>
        </w:rPr>
        <w:t xml:space="preserve"> Member States and Energy Community partners.</w:t>
      </w:r>
    </w:p>
    <w:p w14:paraId="6B60D1E3" w14:textId="6204A1D3" w:rsidR="0003194E" w:rsidRPr="00CF4172" w:rsidRDefault="0003194E" w:rsidP="00B63AA4">
      <w:pPr>
        <w:spacing w:before="100" w:beforeAutospacing="1" w:after="100" w:afterAutospacing="1"/>
        <w:ind w:left="0" w:right="0"/>
        <w:rPr>
          <w:rFonts w:asciiTheme="minorHAnsi" w:hAnsiTheme="minorHAnsi"/>
          <w:lang w:val="en-AU" w:eastAsia="hr-HR"/>
        </w:rPr>
      </w:pPr>
      <w:r w:rsidRPr="00CF4172">
        <w:rPr>
          <w:rFonts w:asciiTheme="minorHAnsi" w:hAnsiTheme="minorHAnsi"/>
          <w:lang w:val="en-AU" w:eastAsia="hr-HR"/>
        </w:rPr>
        <w:t xml:space="preserve">A forward-looking regulatory framework that supports regional integration, transparency, and sustainability will ensure that Croatia not only meets its national hydrogen targets but also becomes an indispensable link </w:t>
      </w:r>
      <w:r w:rsidRPr="00CF4172">
        <w:rPr>
          <w:rFonts w:asciiTheme="minorHAnsi" w:hAnsiTheme="minorHAnsi"/>
          <w:lang w:val="en-AU" w:eastAsia="hr-HR"/>
        </w:rPr>
        <w:lastRenderedPageBreak/>
        <w:t>in the European Hydrogen Economy.</w:t>
      </w:r>
      <w:r w:rsidR="00400683" w:rsidRPr="00CF4172">
        <w:rPr>
          <w:rFonts w:asciiTheme="minorHAnsi" w:hAnsiTheme="minorHAnsi"/>
          <w:lang w:val="en-AU" w:eastAsia="hr-HR"/>
        </w:rPr>
        <w:t xml:space="preserve"> </w:t>
      </w:r>
      <w:r w:rsidRPr="00CF4172">
        <w:rPr>
          <w:rFonts w:asciiTheme="minorHAnsi" w:hAnsiTheme="minorHAnsi"/>
          <w:lang w:val="en-AU" w:eastAsia="hr-HR"/>
        </w:rPr>
        <w:t>The development of a comprehensive hydrogen regulatory framework in Croatia is both a national imperative and a regional opportunity. It requires legislative innovation, institutional coordination, and proactive alignment with EU directives and cross-border initiatives.</w:t>
      </w:r>
    </w:p>
    <w:p w14:paraId="781E375F" w14:textId="5786D677" w:rsidR="0003194E" w:rsidRPr="0003194E" w:rsidRDefault="0003194E" w:rsidP="00B63AA4">
      <w:pPr>
        <w:spacing w:before="100" w:beforeAutospacing="1" w:after="100" w:afterAutospacing="1"/>
        <w:ind w:left="0" w:right="0"/>
        <w:rPr>
          <w:lang w:val="hr-HR"/>
        </w:rPr>
      </w:pPr>
      <w:r w:rsidRPr="00CF4172">
        <w:rPr>
          <w:rFonts w:asciiTheme="minorHAnsi" w:hAnsiTheme="minorHAnsi"/>
          <w:lang w:val="en-AU" w:eastAsia="hr-HR"/>
        </w:rPr>
        <w:t>By implementing the guidelines and recommendations outlined in this chapter, Croatia can establish a predictable, harmonized, and investment-ready regulatory environment that supports its role within a broader interregional hydrogen strategy, reinforcing the objectives of the European Green Deal, REPowerEU, and EU climate neutrality by 2050.</w:t>
      </w:r>
    </w:p>
    <w:p w14:paraId="13922A4F" w14:textId="3B032CD9" w:rsidR="00F20312" w:rsidRPr="00F20312" w:rsidRDefault="00F20312" w:rsidP="003B41CF">
      <w:pPr>
        <w:pStyle w:val="CE-Headline2"/>
        <w:rPr>
          <w:lang w:val="en-AU"/>
        </w:rPr>
      </w:pPr>
      <w:bookmarkStart w:id="10" w:name="_Toc219232399"/>
      <w:r w:rsidRPr="00F20312">
        <w:t xml:space="preserve">Stakeholder </w:t>
      </w:r>
      <w:r>
        <w:t>m</w:t>
      </w:r>
      <w:r w:rsidRPr="00F20312">
        <w:t xml:space="preserve">apping for Hydrogen </w:t>
      </w:r>
      <w:r>
        <w:t>d</w:t>
      </w:r>
      <w:r w:rsidRPr="00F20312">
        <w:t>evelopment in Croatia</w:t>
      </w:r>
      <w:bookmarkEnd w:id="10"/>
    </w:p>
    <w:p w14:paraId="171307F2" w14:textId="77777777" w:rsidR="00BC6CCE" w:rsidRPr="00BC6CCE" w:rsidRDefault="00BC6CCE" w:rsidP="00B63AA4">
      <w:pPr>
        <w:spacing w:before="0"/>
        <w:ind w:left="0" w:right="0"/>
        <w:rPr>
          <w:rFonts w:asciiTheme="minorHAnsi" w:hAnsiTheme="minorHAnsi"/>
          <w:lang w:val="en-AU" w:eastAsia="hr-HR"/>
        </w:rPr>
      </w:pPr>
      <w:r w:rsidRPr="00BC6CCE">
        <w:rPr>
          <w:rFonts w:asciiTheme="minorHAnsi" w:hAnsiTheme="minorHAnsi"/>
          <w:lang w:val="en-AU" w:eastAsia="hr-HR"/>
        </w:rPr>
        <w:t>Hydrogen development in Croatia is a multi-stakeholder process that requires close collaboration between public institutions, private enterprises, research organizations, and civil society. Each stakeholder group plays a distinct role in shaping the national hydrogen ecosystem — from policy design and regulation, through research and technology deployment, to market uptake and regional cooperation.</w:t>
      </w:r>
    </w:p>
    <w:p w14:paraId="502492E0" w14:textId="77777777" w:rsidR="00BC6CCE" w:rsidRPr="00BC6CCE" w:rsidRDefault="00BC6CCE" w:rsidP="00B63AA4">
      <w:pPr>
        <w:spacing w:before="100" w:beforeAutospacing="1" w:after="100" w:afterAutospacing="1"/>
        <w:ind w:left="0" w:right="0"/>
        <w:rPr>
          <w:rFonts w:asciiTheme="minorHAnsi" w:hAnsiTheme="minorHAnsi"/>
          <w:lang w:val="en-AU" w:eastAsia="hr-HR"/>
        </w:rPr>
      </w:pPr>
      <w:r w:rsidRPr="00BC6CCE">
        <w:rPr>
          <w:rFonts w:asciiTheme="minorHAnsi" w:hAnsiTheme="minorHAnsi"/>
          <w:lang w:val="en-AU" w:eastAsia="hr-HR"/>
        </w:rPr>
        <w:t>A comprehensive stakeholder mapping helps identify key actors, their interdependencies, and potential synergies to ensure coordinated progress toward Croatia’s hydrogen strategy goals and its integration within the European Hydrogen Economy.</w:t>
      </w:r>
    </w:p>
    <w:p w14:paraId="39F0BC12" w14:textId="77777777" w:rsidR="00BC6CCE" w:rsidRPr="00BC6CCE" w:rsidRDefault="00BC6CCE" w:rsidP="00B63AA4">
      <w:pPr>
        <w:spacing w:before="100" w:beforeAutospacing="1" w:after="100" w:afterAutospacing="1"/>
        <w:ind w:left="0" w:right="0"/>
        <w:jc w:val="left"/>
        <w:rPr>
          <w:rFonts w:asciiTheme="minorHAnsi" w:hAnsiTheme="minorHAnsi"/>
          <w:lang w:val="en-AU" w:eastAsia="hr-HR"/>
        </w:rPr>
      </w:pPr>
      <w:r w:rsidRPr="00BC6CCE">
        <w:rPr>
          <w:rFonts w:asciiTheme="minorHAnsi" w:hAnsiTheme="minorHAnsi"/>
          <w:lang w:val="en-AU" w:eastAsia="hr-HR"/>
        </w:rPr>
        <w:t>The stakeholder ecosystem in Croatia can be divided into five main categories:</w:t>
      </w:r>
    </w:p>
    <w:p w14:paraId="636BDCA6" w14:textId="77777777" w:rsidR="00BC6CCE" w:rsidRPr="00BC6CCE" w:rsidRDefault="00BC6CCE" w:rsidP="00B63AA4">
      <w:pPr>
        <w:numPr>
          <w:ilvl w:val="0"/>
          <w:numId w:val="77"/>
        </w:numPr>
        <w:spacing w:before="100" w:beforeAutospacing="1" w:after="100" w:afterAutospacing="1"/>
        <w:ind w:right="0"/>
        <w:jc w:val="left"/>
        <w:rPr>
          <w:rFonts w:asciiTheme="minorHAnsi" w:hAnsiTheme="minorHAnsi"/>
          <w:lang w:val="en-AU" w:eastAsia="hr-HR"/>
        </w:rPr>
      </w:pPr>
      <w:r w:rsidRPr="00BC6CCE">
        <w:rPr>
          <w:rFonts w:asciiTheme="minorHAnsi" w:hAnsiTheme="minorHAnsi"/>
          <w:lang w:val="en-AU" w:eastAsia="hr-HR"/>
        </w:rPr>
        <w:t>Government and Regulatory Bodies</w:t>
      </w:r>
    </w:p>
    <w:p w14:paraId="3BFCAB8A" w14:textId="77777777" w:rsidR="00BC6CCE" w:rsidRPr="00BC6CCE" w:rsidRDefault="00BC6CCE" w:rsidP="00B63AA4">
      <w:pPr>
        <w:numPr>
          <w:ilvl w:val="0"/>
          <w:numId w:val="77"/>
        </w:numPr>
        <w:spacing w:before="100" w:beforeAutospacing="1" w:after="100" w:afterAutospacing="1"/>
        <w:ind w:right="0"/>
        <w:jc w:val="left"/>
        <w:rPr>
          <w:rFonts w:asciiTheme="minorHAnsi" w:hAnsiTheme="minorHAnsi"/>
          <w:lang w:val="en-AU" w:eastAsia="hr-HR"/>
        </w:rPr>
      </w:pPr>
      <w:r w:rsidRPr="00BC6CCE">
        <w:rPr>
          <w:rFonts w:asciiTheme="minorHAnsi" w:hAnsiTheme="minorHAnsi"/>
          <w:lang w:val="en-AU" w:eastAsia="hr-HR"/>
        </w:rPr>
        <w:t>Public Enterprises and Infrastructure Operators</w:t>
      </w:r>
    </w:p>
    <w:p w14:paraId="674DA1CD" w14:textId="77777777" w:rsidR="00BC6CCE" w:rsidRPr="00BC6CCE" w:rsidRDefault="00BC6CCE" w:rsidP="00B63AA4">
      <w:pPr>
        <w:numPr>
          <w:ilvl w:val="0"/>
          <w:numId w:val="77"/>
        </w:numPr>
        <w:spacing w:before="100" w:beforeAutospacing="1" w:after="100" w:afterAutospacing="1"/>
        <w:ind w:right="0"/>
        <w:jc w:val="left"/>
        <w:rPr>
          <w:rFonts w:asciiTheme="minorHAnsi" w:hAnsiTheme="minorHAnsi"/>
          <w:lang w:val="en-AU" w:eastAsia="hr-HR"/>
        </w:rPr>
      </w:pPr>
      <w:r w:rsidRPr="00BC6CCE">
        <w:rPr>
          <w:rFonts w:asciiTheme="minorHAnsi" w:hAnsiTheme="minorHAnsi"/>
          <w:lang w:val="en-AU" w:eastAsia="hr-HR"/>
        </w:rPr>
        <w:t>Private Sector and Industry Associations</w:t>
      </w:r>
    </w:p>
    <w:p w14:paraId="2845190E" w14:textId="77777777" w:rsidR="00BC6CCE" w:rsidRPr="00BC6CCE" w:rsidRDefault="00BC6CCE" w:rsidP="00B63AA4">
      <w:pPr>
        <w:numPr>
          <w:ilvl w:val="0"/>
          <w:numId w:val="77"/>
        </w:numPr>
        <w:spacing w:before="100" w:beforeAutospacing="1" w:after="100" w:afterAutospacing="1"/>
        <w:ind w:right="0"/>
        <w:jc w:val="left"/>
        <w:rPr>
          <w:rFonts w:asciiTheme="minorHAnsi" w:hAnsiTheme="minorHAnsi"/>
          <w:lang w:val="en-AU" w:eastAsia="hr-HR"/>
        </w:rPr>
      </w:pPr>
      <w:r w:rsidRPr="00BC6CCE">
        <w:rPr>
          <w:rFonts w:asciiTheme="minorHAnsi" w:hAnsiTheme="minorHAnsi"/>
          <w:lang w:val="en-AU" w:eastAsia="hr-HR"/>
        </w:rPr>
        <w:t>Research, Development and Innovation (RDI) Institutions</w:t>
      </w:r>
    </w:p>
    <w:p w14:paraId="7DDEF0EB" w14:textId="77777777" w:rsidR="00BC6CCE" w:rsidRPr="00BC6CCE" w:rsidRDefault="00BC6CCE" w:rsidP="00B63AA4">
      <w:pPr>
        <w:numPr>
          <w:ilvl w:val="0"/>
          <w:numId w:val="77"/>
        </w:numPr>
        <w:spacing w:before="100" w:beforeAutospacing="1" w:after="100" w:afterAutospacing="1"/>
        <w:ind w:right="0"/>
        <w:jc w:val="left"/>
        <w:rPr>
          <w:rFonts w:asciiTheme="minorHAnsi" w:hAnsiTheme="minorHAnsi"/>
          <w:lang w:val="en-AU" w:eastAsia="hr-HR"/>
        </w:rPr>
      </w:pPr>
      <w:r w:rsidRPr="00BC6CCE">
        <w:rPr>
          <w:rFonts w:asciiTheme="minorHAnsi" w:hAnsiTheme="minorHAnsi"/>
          <w:lang w:val="en-AU" w:eastAsia="hr-HR"/>
        </w:rPr>
        <w:t>Regional, Financial and Civil Society Actors</w:t>
      </w:r>
    </w:p>
    <w:p w14:paraId="00125752" w14:textId="77777777" w:rsidR="00BC6CCE" w:rsidRPr="00BC6CCE" w:rsidRDefault="00BC6CCE" w:rsidP="00B63AA4">
      <w:pPr>
        <w:spacing w:before="0"/>
        <w:ind w:left="0" w:right="0"/>
        <w:jc w:val="left"/>
        <w:rPr>
          <w:rFonts w:asciiTheme="minorHAnsi" w:hAnsiTheme="minorHAnsi"/>
        </w:rPr>
      </w:pPr>
      <w:r w:rsidRPr="00BC6CCE">
        <w:rPr>
          <w:rFonts w:asciiTheme="minorHAnsi" w:hAnsiTheme="minorHAnsi"/>
        </w:rPr>
        <w:t>These institutions define Croatia’s hydrogen policy, legal framework, and international commitments.</w:t>
      </w:r>
    </w:p>
    <w:p w14:paraId="2C6282F8" w14:textId="77777777" w:rsidR="00BC6CCE" w:rsidRDefault="00BC6CCE">
      <w:pPr>
        <w:spacing w:before="0" w:line="240" w:lineRule="auto"/>
        <w:ind w:left="0" w:right="0"/>
        <w:jc w:val="left"/>
      </w:pPr>
    </w:p>
    <w:tbl>
      <w:tblPr>
        <w:tblStyle w:val="Svijetlatablicareetke1"/>
        <w:tblW w:w="0" w:type="auto"/>
        <w:tblLook w:val="04A0" w:firstRow="1" w:lastRow="0" w:firstColumn="1" w:lastColumn="0" w:noHBand="0" w:noVBand="1"/>
      </w:tblPr>
      <w:tblGrid>
        <w:gridCol w:w="2776"/>
        <w:gridCol w:w="5622"/>
        <w:gridCol w:w="1230"/>
      </w:tblGrid>
      <w:tr w:rsidR="00BC6CCE" w:rsidRPr="00BC6CCE" w14:paraId="3F096619" w14:textId="77777777" w:rsidTr="007B4F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ACA3C"/>
            <w:hideMark/>
          </w:tcPr>
          <w:p w14:paraId="7692F026" w14:textId="77777777" w:rsidR="00BC6CCE" w:rsidRPr="00910D95" w:rsidRDefault="00BC6CCE" w:rsidP="00BC6CCE">
            <w:pPr>
              <w:spacing w:before="0" w:line="240" w:lineRule="auto"/>
              <w:ind w:left="0" w:right="0"/>
              <w:jc w:val="center"/>
              <w:rPr>
                <w:rFonts w:asciiTheme="minorHAnsi" w:hAnsiTheme="minorHAnsi"/>
                <w:b w:val="0"/>
                <w:bCs w:val="0"/>
                <w:color w:val="FFFFFF" w:themeColor="background1"/>
                <w:lang w:val="en-AU" w:eastAsia="hr-HR"/>
              </w:rPr>
            </w:pPr>
            <w:r w:rsidRPr="00910D95">
              <w:rPr>
                <w:rFonts w:asciiTheme="minorHAnsi" w:hAnsiTheme="minorHAnsi"/>
                <w:color w:val="FFFFFF" w:themeColor="background1"/>
                <w:lang w:val="en-AU" w:eastAsia="hr-HR"/>
              </w:rPr>
              <w:t>Institution</w:t>
            </w:r>
          </w:p>
        </w:tc>
        <w:tc>
          <w:tcPr>
            <w:tcW w:w="0" w:type="auto"/>
            <w:shd w:val="clear" w:color="auto" w:fill="9ACA3C"/>
            <w:hideMark/>
          </w:tcPr>
          <w:p w14:paraId="7E13CC46" w14:textId="536DFBD1" w:rsidR="00BC6CCE" w:rsidRPr="00910D95" w:rsidRDefault="00BC6CCE" w:rsidP="00BC6CCE">
            <w:pPr>
              <w:spacing w:before="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themeColor="background1"/>
                <w:lang w:val="en-AU" w:eastAsia="hr-HR"/>
              </w:rPr>
            </w:pPr>
            <w:r w:rsidRPr="00910D95">
              <w:rPr>
                <w:rFonts w:asciiTheme="minorHAnsi" w:hAnsiTheme="minorHAnsi"/>
                <w:color w:val="FFFFFF" w:themeColor="background1"/>
                <w:lang w:val="en-AU" w:eastAsia="hr-HR"/>
              </w:rPr>
              <w:t xml:space="preserve">Main </w:t>
            </w:r>
            <w:r w:rsidR="007B4F6B" w:rsidRPr="00910D95">
              <w:rPr>
                <w:rFonts w:asciiTheme="minorHAnsi" w:hAnsiTheme="minorHAnsi"/>
                <w:color w:val="FFFFFF" w:themeColor="background1"/>
                <w:lang w:val="en-AU" w:eastAsia="hr-HR"/>
              </w:rPr>
              <w:t>r</w:t>
            </w:r>
            <w:r w:rsidRPr="00910D95">
              <w:rPr>
                <w:rFonts w:asciiTheme="minorHAnsi" w:hAnsiTheme="minorHAnsi"/>
                <w:color w:val="FFFFFF" w:themeColor="background1"/>
                <w:lang w:val="en-AU" w:eastAsia="hr-HR"/>
              </w:rPr>
              <w:t xml:space="preserve">ole in </w:t>
            </w:r>
            <w:r w:rsidR="007B4F6B" w:rsidRPr="00910D95">
              <w:rPr>
                <w:rFonts w:asciiTheme="minorHAnsi" w:hAnsiTheme="minorHAnsi"/>
                <w:color w:val="FFFFFF" w:themeColor="background1"/>
                <w:lang w:val="en-AU" w:eastAsia="hr-HR"/>
              </w:rPr>
              <w:t>h</w:t>
            </w:r>
            <w:r w:rsidRPr="00910D95">
              <w:rPr>
                <w:rFonts w:asciiTheme="minorHAnsi" w:hAnsiTheme="minorHAnsi"/>
                <w:color w:val="FFFFFF" w:themeColor="background1"/>
                <w:lang w:val="en-AU" w:eastAsia="hr-HR"/>
              </w:rPr>
              <w:t xml:space="preserve">ydrogen </w:t>
            </w:r>
            <w:r w:rsidR="007B4F6B" w:rsidRPr="00910D95">
              <w:rPr>
                <w:rFonts w:asciiTheme="minorHAnsi" w:hAnsiTheme="minorHAnsi"/>
                <w:color w:val="FFFFFF" w:themeColor="background1"/>
                <w:lang w:val="en-AU" w:eastAsia="hr-HR"/>
              </w:rPr>
              <w:t>d</w:t>
            </w:r>
            <w:r w:rsidRPr="00910D95">
              <w:rPr>
                <w:rFonts w:asciiTheme="minorHAnsi" w:hAnsiTheme="minorHAnsi"/>
                <w:color w:val="FFFFFF" w:themeColor="background1"/>
                <w:lang w:val="en-AU" w:eastAsia="hr-HR"/>
              </w:rPr>
              <w:t>evelopment</w:t>
            </w:r>
          </w:p>
        </w:tc>
        <w:tc>
          <w:tcPr>
            <w:tcW w:w="0" w:type="auto"/>
            <w:shd w:val="clear" w:color="auto" w:fill="9ACA3C"/>
            <w:hideMark/>
          </w:tcPr>
          <w:p w14:paraId="58909DFA" w14:textId="02C2118D" w:rsidR="00BC6CCE" w:rsidRPr="00910D95" w:rsidRDefault="00BC6CCE" w:rsidP="00BC6CCE">
            <w:pPr>
              <w:spacing w:before="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themeColor="background1"/>
                <w:lang w:val="en-AU" w:eastAsia="hr-HR"/>
              </w:rPr>
            </w:pPr>
            <w:r w:rsidRPr="00910D95">
              <w:rPr>
                <w:rFonts w:asciiTheme="minorHAnsi" w:hAnsiTheme="minorHAnsi"/>
                <w:color w:val="FFFFFF" w:themeColor="background1"/>
                <w:lang w:val="en-AU" w:eastAsia="hr-HR"/>
              </w:rPr>
              <w:t xml:space="preserve">Influence </w:t>
            </w:r>
            <w:r w:rsidR="007B4F6B" w:rsidRPr="00910D95">
              <w:rPr>
                <w:rFonts w:asciiTheme="minorHAnsi" w:hAnsiTheme="minorHAnsi"/>
                <w:color w:val="FFFFFF" w:themeColor="background1"/>
                <w:lang w:val="en-AU" w:eastAsia="hr-HR"/>
              </w:rPr>
              <w:t>l</w:t>
            </w:r>
            <w:r w:rsidRPr="00910D95">
              <w:rPr>
                <w:rFonts w:asciiTheme="minorHAnsi" w:hAnsiTheme="minorHAnsi"/>
                <w:color w:val="FFFFFF" w:themeColor="background1"/>
                <w:lang w:val="en-AU" w:eastAsia="hr-HR"/>
              </w:rPr>
              <w:t>evel</w:t>
            </w:r>
          </w:p>
        </w:tc>
      </w:tr>
      <w:tr w:rsidR="00BC6CCE" w:rsidRPr="00BC6CCE" w14:paraId="07F52814" w14:textId="77777777" w:rsidTr="007B4F6B">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hideMark/>
          </w:tcPr>
          <w:p w14:paraId="669EA499" w14:textId="02EF5375" w:rsidR="00BC6CCE" w:rsidRPr="00BC6CCE" w:rsidRDefault="00BC6CCE" w:rsidP="00BC6CCE">
            <w:pPr>
              <w:spacing w:before="0" w:line="240" w:lineRule="auto"/>
              <w:ind w:left="0" w:right="0"/>
              <w:jc w:val="left"/>
              <w:rPr>
                <w:rFonts w:asciiTheme="minorHAnsi" w:hAnsiTheme="minorHAnsi"/>
                <w:lang w:val="en-AU" w:eastAsia="hr-HR"/>
              </w:rPr>
            </w:pPr>
            <w:r w:rsidRPr="00BC6CCE">
              <w:rPr>
                <w:rFonts w:asciiTheme="minorHAnsi" w:hAnsiTheme="minorHAnsi"/>
                <w:lang w:val="en-AU" w:eastAsia="hr-HR"/>
              </w:rPr>
              <w:t>Ministry of Economy (MoE)</w:t>
            </w:r>
          </w:p>
        </w:tc>
        <w:tc>
          <w:tcPr>
            <w:tcW w:w="0" w:type="auto"/>
            <w:shd w:val="clear" w:color="auto" w:fill="F2F2F2" w:themeFill="background1" w:themeFillShade="F2"/>
            <w:hideMark/>
          </w:tcPr>
          <w:p w14:paraId="6F1D616A" w14:textId="77777777" w:rsidR="00BC6CCE" w:rsidRPr="00BC6CCE" w:rsidRDefault="00BC6CCE" w:rsidP="00BC6CCE">
            <w:pPr>
              <w:spacing w:before="0" w:line="240" w:lineRule="auto"/>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val="en-AU" w:eastAsia="hr-HR"/>
              </w:rPr>
            </w:pPr>
            <w:r w:rsidRPr="00BC6CCE">
              <w:rPr>
                <w:rFonts w:asciiTheme="minorHAnsi" w:hAnsiTheme="minorHAnsi"/>
                <w:lang w:val="en-AU" w:eastAsia="hr-HR"/>
              </w:rPr>
              <w:t>Lead authority for national hydrogen policy; prepares and implements the Hydrogen Strategy of the Republic of Croatia until 2050; coordinates legislative and funding mechanisms.</w:t>
            </w:r>
          </w:p>
        </w:tc>
        <w:tc>
          <w:tcPr>
            <w:tcW w:w="0" w:type="auto"/>
            <w:shd w:val="clear" w:color="auto" w:fill="F2F2F2" w:themeFill="background1" w:themeFillShade="F2"/>
            <w:hideMark/>
          </w:tcPr>
          <w:p w14:paraId="552F058F" w14:textId="77777777" w:rsidR="00BC6CCE" w:rsidRPr="00BC6CCE" w:rsidRDefault="00BC6CCE" w:rsidP="00BC6CCE">
            <w:pPr>
              <w:spacing w:before="0" w:line="240" w:lineRule="auto"/>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val="en-AU" w:eastAsia="hr-HR"/>
              </w:rPr>
            </w:pPr>
            <w:r w:rsidRPr="00BC6CCE">
              <w:rPr>
                <w:rFonts w:asciiTheme="minorHAnsi" w:hAnsiTheme="minorHAnsi"/>
                <w:lang w:val="en-AU" w:eastAsia="hr-HR"/>
              </w:rPr>
              <w:t>Very High</w:t>
            </w:r>
          </w:p>
        </w:tc>
      </w:tr>
      <w:tr w:rsidR="00BC6CCE" w:rsidRPr="00BC6CCE" w14:paraId="72D270E2" w14:textId="77777777" w:rsidTr="007B4F6B">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hideMark/>
          </w:tcPr>
          <w:p w14:paraId="630F34AC" w14:textId="77777777" w:rsidR="00BC6CCE" w:rsidRPr="00BC6CCE" w:rsidRDefault="00BC6CCE" w:rsidP="00BC6CCE">
            <w:pPr>
              <w:spacing w:before="0" w:line="240" w:lineRule="auto"/>
              <w:ind w:left="0" w:right="0"/>
              <w:jc w:val="left"/>
              <w:rPr>
                <w:rFonts w:asciiTheme="minorHAnsi" w:hAnsiTheme="minorHAnsi"/>
                <w:lang w:val="en-AU" w:eastAsia="hr-HR"/>
              </w:rPr>
            </w:pPr>
            <w:r w:rsidRPr="00BC6CCE">
              <w:rPr>
                <w:rFonts w:asciiTheme="minorHAnsi" w:hAnsiTheme="minorHAnsi"/>
                <w:lang w:val="en-AU" w:eastAsia="hr-HR"/>
              </w:rPr>
              <w:t>Croatian Energy Regulatory Agency (HERA)</w:t>
            </w:r>
          </w:p>
        </w:tc>
        <w:tc>
          <w:tcPr>
            <w:tcW w:w="0" w:type="auto"/>
            <w:shd w:val="clear" w:color="auto" w:fill="F2F2F2" w:themeFill="background1" w:themeFillShade="F2"/>
            <w:hideMark/>
          </w:tcPr>
          <w:p w14:paraId="5964872B" w14:textId="77777777" w:rsidR="00BC6CCE" w:rsidRPr="00BC6CCE" w:rsidRDefault="00BC6CCE" w:rsidP="00BC6CCE">
            <w:pPr>
              <w:spacing w:before="0" w:line="240" w:lineRule="auto"/>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val="en-AU" w:eastAsia="hr-HR"/>
              </w:rPr>
            </w:pPr>
            <w:r w:rsidRPr="00BC6CCE">
              <w:rPr>
                <w:rFonts w:asciiTheme="minorHAnsi" w:hAnsiTheme="minorHAnsi"/>
                <w:lang w:val="en-AU" w:eastAsia="hr-HR"/>
              </w:rPr>
              <w:t>Regulates energy markets; will extend competence to hydrogen pricing, network codes, and safety standards.</w:t>
            </w:r>
          </w:p>
        </w:tc>
        <w:tc>
          <w:tcPr>
            <w:tcW w:w="0" w:type="auto"/>
            <w:shd w:val="clear" w:color="auto" w:fill="F2F2F2" w:themeFill="background1" w:themeFillShade="F2"/>
            <w:hideMark/>
          </w:tcPr>
          <w:p w14:paraId="00A270EA" w14:textId="77777777" w:rsidR="00BC6CCE" w:rsidRPr="00BC6CCE" w:rsidRDefault="00BC6CCE" w:rsidP="00BC6CCE">
            <w:pPr>
              <w:spacing w:before="0" w:line="240" w:lineRule="auto"/>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val="en-AU" w:eastAsia="hr-HR"/>
              </w:rPr>
            </w:pPr>
            <w:r w:rsidRPr="00BC6CCE">
              <w:rPr>
                <w:rFonts w:asciiTheme="minorHAnsi" w:hAnsiTheme="minorHAnsi"/>
                <w:lang w:val="en-AU" w:eastAsia="hr-HR"/>
              </w:rPr>
              <w:t>High</w:t>
            </w:r>
          </w:p>
        </w:tc>
      </w:tr>
      <w:tr w:rsidR="00BC6CCE" w:rsidRPr="00BC6CCE" w14:paraId="10B69D63" w14:textId="77777777" w:rsidTr="007B4F6B">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hideMark/>
          </w:tcPr>
          <w:p w14:paraId="0E4190EE" w14:textId="77777777" w:rsidR="00BC6CCE" w:rsidRPr="00BC6CCE" w:rsidRDefault="00BC6CCE" w:rsidP="00BC6CCE">
            <w:pPr>
              <w:spacing w:before="0" w:line="240" w:lineRule="auto"/>
              <w:ind w:left="0" w:right="0"/>
              <w:jc w:val="left"/>
              <w:rPr>
                <w:rFonts w:asciiTheme="minorHAnsi" w:hAnsiTheme="minorHAnsi"/>
                <w:lang w:val="en-AU" w:eastAsia="hr-HR"/>
              </w:rPr>
            </w:pPr>
            <w:r w:rsidRPr="00BC6CCE">
              <w:rPr>
                <w:rFonts w:asciiTheme="minorHAnsi" w:hAnsiTheme="minorHAnsi"/>
                <w:lang w:val="en-AU" w:eastAsia="hr-HR"/>
              </w:rPr>
              <w:t>Croatian Energy Market Operator (HROTE)</w:t>
            </w:r>
          </w:p>
        </w:tc>
        <w:tc>
          <w:tcPr>
            <w:tcW w:w="0" w:type="auto"/>
            <w:shd w:val="clear" w:color="auto" w:fill="F2F2F2" w:themeFill="background1" w:themeFillShade="F2"/>
            <w:hideMark/>
          </w:tcPr>
          <w:p w14:paraId="0461BF06" w14:textId="77777777" w:rsidR="00BC6CCE" w:rsidRPr="00BC6CCE" w:rsidRDefault="00BC6CCE" w:rsidP="00BC6CCE">
            <w:pPr>
              <w:spacing w:before="0" w:line="240" w:lineRule="auto"/>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val="en-AU" w:eastAsia="hr-HR"/>
              </w:rPr>
            </w:pPr>
            <w:r w:rsidRPr="00BC6CCE">
              <w:rPr>
                <w:rFonts w:asciiTheme="minorHAnsi" w:hAnsiTheme="minorHAnsi"/>
                <w:lang w:val="en-AU" w:eastAsia="hr-HR"/>
              </w:rPr>
              <w:t>Manages renewable energy incentives; develops guarantees of origin (GoO) and market certification schemes for hydrogen.</w:t>
            </w:r>
          </w:p>
        </w:tc>
        <w:tc>
          <w:tcPr>
            <w:tcW w:w="0" w:type="auto"/>
            <w:shd w:val="clear" w:color="auto" w:fill="F2F2F2" w:themeFill="background1" w:themeFillShade="F2"/>
            <w:hideMark/>
          </w:tcPr>
          <w:p w14:paraId="34EA0460" w14:textId="77777777" w:rsidR="00BC6CCE" w:rsidRPr="00BC6CCE" w:rsidRDefault="00BC6CCE" w:rsidP="00BC6CCE">
            <w:pPr>
              <w:spacing w:before="0" w:line="240" w:lineRule="auto"/>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val="en-AU" w:eastAsia="hr-HR"/>
              </w:rPr>
            </w:pPr>
            <w:r w:rsidRPr="00BC6CCE">
              <w:rPr>
                <w:rFonts w:asciiTheme="minorHAnsi" w:hAnsiTheme="minorHAnsi"/>
                <w:lang w:val="en-AU" w:eastAsia="hr-HR"/>
              </w:rPr>
              <w:t>High</w:t>
            </w:r>
          </w:p>
        </w:tc>
      </w:tr>
      <w:tr w:rsidR="00BC6CCE" w:rsidRPr="00BC6CCE" w14:paraId="32DB27E7" w14:textId="77777777" w:rsidTr="007B4F6B">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hideMark/>
          </w:tcPr>
          <w:p w14:paraId="48C08F85" w14:textId="32616408" w:rsidR="00BC6CCE" w:rsidRPr="00BC6CCE" w:rsidRDefault="00BC6CCE" w:rsidP="00BC6CCE">
            <w:pPr>
              <w:spacing w:before="0" w:line="240" w:lineRule="auto"/>
              <w:ind w:left="0" w:right="0"/>
              <w:jc w:val="left"/>
              <w:rPr>
                <w:rFonts w:asciiTheme="minorHAnsi" w:hAnsiTheme="minorHAnsi"/>
                <w:lang w:val="en-AU" w:eastAsia="hr-HR"/>
              </w:rPr>
            </w:pPr>
            <w:r w:rsidRPr="00BC6CCE">
              <w:rPr>
                <w:rFonts w:asciiTheme="minorHAnsi" w:hAnsiTheme="minorHAnsi"/>
                <w:lang w:val="en-AU" w:eastAsia="hr-HR"/>
              </w:rPr>
              <w:t>Ministry of Science</w:t>
            </w:r>
            <w:r w:rsidR="00BC4A44">
              <w:rPr>
                <w:rFonts w:asciiTheme="minorHAnsi" w:hAnsiTheme="minorHAnsi"/>
                <w:lang w:val="en-AU" w:eastAsia="hr-HR"/>
              </w:rPr>
              <w:t xml:space="preserve">, </w:t>
            </w:r>
            <w:r w:rsidRPr="00BC6CCE">
              <w:rPr>
                <w:rFonts w:asciiTheme="minorHAnsi" w:hAnsiTheme="minorHAnsi"/>
                <w:lang w:val="en-AU" w:eastAsia="hr-HR"/>
              </w:rPr>
              <w:t>Education</w:t>
            </w:r>
            <w:r w:rsidR="00BC4A44">
              <w:rPr>
                <w:rFonts w:asciiTheme="minorHAnsi" w:hAnsiTheme="minorHAnsi"/>
                <w:lang w:val="en-AU" w:eastAsia="hr-HR"/>
              </w:rPr>
              <w:t>, and Youth (MoSEY)</w:t>
            </w:r>
          </w:p>
        </w:tc>
        <w:tc>
          <w:tcPr>
            <w:tcW w:w="0" w:type="auto"/>
            <w:shd w:val="clear" w:color="auto" w:fill="F2F2F2" w:themeFill="background1" w:themeFillShade="F2"/>
            <w:hideMark/>
          </w:tcPr>
          <w:p w14:paraId="1E4EAFC5" w14:textId="77777777" w:rsidR="00BC6CCE" w:rsidRPr="00BC6CCE" w:rsidRDefault="00BC6CCE" w:rsidP="00BC6CCE">
            <w:pPr>
              <w:spacing w:before="0" w:line="240" w:lineRule="auto"/>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val="en-AU" w:eastAsia="hr-HR"/>
              </w:rPr>
            </w:pPr>
            <w:r w:rsidRPr="00BC6CCE">
              <w:rPr>
                <w:rFonts w:asciiTheme="minorHAnsi" w:hAnsiTheme="minorHAnsi"/>
                <w:lang w:val="en-AU" w:eastAsia="hr-HR"/>
              </w:rPr>
              <w:t>Oversees R&amp;D funding and supports academic hydrogen programs and innovation centers.</w:t>
            </w:r>
          </w:p>
        </w:tc>
        <w:tc>
          <w:tcPr>
            <w:tcW w:w="0" w:type="auto"/>
            <w:shd w:val="clear" w:color="auto" w:fill="F2F2F2" w:themeFill="background1" w:themeFillShade="F2"/>
            <w:hideMark/>
          </w:tcPr>
          <w:p w14:paraId="4BB9D2DC" w14:textId="77777777" w:rsidR="00BC6CCE" w:rsidRPr="00BC6CCE" w:rsidRDefault="00BC6CCE" w:rsidP="00BC6CCE">
            <w:pPr>
              <w:spacing w:before="0" w:line="240" w:lineRule="auto"/>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val="en-AU" w:eastAsia="hr-HR"/>
              </w:rPr>
            </w:pPr>
            <w:r w:rsidRPr="00BC6CCE">
              <w:rPr>
                <w:rFonts w:asciiTheme="minorHAnsi" w:hAnsiTheme="minorHAnsi"/>
                <w:lang w:val="en-AU" w:eastAsia="hr-HR"/>
              </w:rPr>
              <w:t>Medium</w:t>
            </w:r>
          </w:p>
        </w:tc>
      </w:tr>
      <w:tr w:rsidR="00BC6CCE" w:rsidRPr="00BC6CCE" w14:paraId="2109B7AD" w14:textId="77777777" w:rsidTr="007B4F6B">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hideMark/>
          </w:tcPr>
          <w:p w14:paraId="1C968490" w14:textId="77777777" w:rsidR="00BC6CCE" w:rsidRPr="00BC6CCE" w:rsidRDefault="00BC6CCE" w:rsidP="00BC6CCE">
            <w:pPr>
              <w:spacing w:before="0" w:line="240" w:lineRule="auto"/>
              <w:ind w:left="0" w:right="0"/>
              <w:jc w:val="left"/>
              <w:rPr>
                <w:rFonts w:asciiTheme="minorHAnsi" w:hAnsiTheme="minorHAnsi"/>
                <w:lang w:val="en-AU" w:eastAsia="hr-HR"/>
              </w:rPr>
            </w:pPr>
            <w:r w:rsidRPr="00BC6CCE">
              <w:rPr>
                <w:rFonts w:asciiTheme="minorHAnsi" w:hAnsiTheme="minorHAnsi"/>
                <w:lang w:val="en-AU" w:eastAsia="hr-HR"/>
              </w:rPr>
              <w:t>Environmental Protection and Energy Efficiency Fund (EPEEF)</w:t>
            </w:r>
          </w:p>
        </w:tc>
        <w:tc>
          <w:tcPr>
            <w:tcW w:w="0" w:type="auto"/>
            <w:shd w:val="clear" w:color="auto" w:fill="F2F2F2" w:themeFill="background1" w:themeFillShade="F2"/>
            <w:hideMark/>
          </w:tcPr>
          <w:p w14:paraId="55685244" w14:textId="77777777" w:rsidR="00BC6CCE" w:rsidRPr="00BC6CCE" w:rsidRDefault="00BC6CCE" w:rsidP="00BC6CCE">
            <w:pPr>
              <w:spacing w:before="0" w:line="240" w:lineRule="auto"/>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val="en-AU" w:eastAsia="hr-HR"/>
              </w:rPr>
            </w:pPr>
            <w:r w:rsidRPr="00BC6CCE">
              <w:rPr>
                <w:rFonts w:asciiTheme="minorHAnsi" w:hAnsiTheme="minorHAnsi"/>
                <w:lang w:val="en-AU" w:eastAsia="hr-HR"/>
              </w:rPr>
              <w:t>Provides co-financing for hydrogen and decarbonisation projects from EU and national sources.</w:t>
            </w:r>
          </w:p>
        </w:tc>
        <w:tc>
          <w:tcPr>
            <w:tcW w:w="0" w:type="auto"/>
            <w:shd w:val="clear" w:color="auto" w:fill="F2F2F2" w:themeFill="background1" w:themeFillShade="F2"/>
            <w:hideMark/>
          </w:tcPr>
          <w:p w14:paraId="1E28DF42" w14:textId="77777777" w:rsidR="00BC6CCE" w:rsidRPr="00BC6CCE" w:rsidRDefault="00BC6CCE" w:rsidP="00BC6CCE">
            <w:pPr>
              <w:spacing w:before="0" w:line="240" w:lineRule="auto"/>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val="en-AU" w:eastAsia="hr-HR"/>
              </w:rPr>
            </w:pPr>
            <w:r w:rsidRPr="00BC6CCE">
              <w:rPr>
                <w:rFonts w:asciiTheme="minorHAnsi" w:hAnsiTheme="minorHAnsi"/>
                <w:lang w:val="en-AU" w:eastAsia="hr-HR"/>
              </w:rPr>
              <w:t>High</w:t>
            </w:r>
          </w:p>
        </w:tc>
      </w:tr>
      <w:tr w:rsidR="00BC6CCE" w:rsidRPr="00BC6CCE" w14:paraId="77D82D4E" w14:textId="77777777" w:rsidTr="007B4F6B">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hideMark/>
          </w:tcPr>
          <w:p w14:paraId="0CD83361" w14:textId="77777777" w:rsidR="00BC6CCE" w:rsidRPr="00BC6CCE" w:rsidRDefault="00BC6CCE" w:rsidP="00BC6CCE">
            <w:pPr>
              <w:spacing w:before="0" w:line="240" w:lineRule="auto"/>
              <w:ind w:left="0" w:right="0"/>
              <w:jc w:val="left"/>
              <w:rPr>
                <w:rFonts w:asciiTheme="minorHAnsi" w:hAnsiTheme="minorHAnsi"/>
                <w:lang w:val="en-AU" w:eastAsia="hr-HR"/>
              </w:rPr>
            </w:pPr>
            <w:r w:rsidRPr="00BC6CCE">
              <w:rPr>
                <w:rFonts w:asciiTheme="minorHAnsi" w:hAnsiTheme="minorHAnsi"/>
                <w:lang w:val="en-AU" w:eastAsia="hr-HR"/>
              </w:rPr>
              <w:t>Energy Institute Hrvoje Požar (EIHP)</w:t>
            </w:r>
          </w:p>
        </w:tc>
        <w:tc>
          <w:tcPr>
            <w:tcW w:w="0" w:type="auto"/>
            <w:shd w:val="clear" w:color="auto" w:fill="F2F2F2" w:themeFill="background1" w:themeFillShade="F2"/>
            <w:hideMark/>
          </w:tcPr>
          <w:p w14:paraId="5D37C74F" w14:textId="77777777" w:rsidR="00BC6CCE" w:rsidRPr="00BC6CCE" w:rsidRDefault="00BC6CCE" w:rsidP="00BC6CCE">
            <w:pPr>
              <w:spacing w:before="0" w:line="240" w:lineRule="auto"/>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val="en-AU" w:eastAsia="hr-HR"/>
              </w:rPr>
            </w:pPr>
            <w:r w:rsidRPr="00BC6CCE">
              <w:rPr>
                <w:rFonts w:asciiTheme="minorHAnsi" w:hAnsiTheme="minorHAnsi"/>
                <w:lang w:val="en-AU" w:eastAsia="hr-HR"/>
              </w:rPr>
              <w:t>Advisory body for modelling, scenario analysis, and policy evaluation; supports regulatory drafting.</w:t>
            </w:r>
          </w:p>
        </w:tc>
        <w:tc>
          <w:tcPr>
            <w:tcW w:w="0" w:type="auto"/>
            <w:shd w:val="clear" w:color="auto" w:fill="F2F2F2" w:themeFill="background1" w:themeFillShade="F2"/>
            <w:hideMark/>
          </w:tcPr>
          <w:p w14:paraId="3FE60EF2" w14:textId="77777777" w:rsidR="00BC6CCE" w:rsidRPr="00BC6CCE" w:rsidRDefault="00BC6CCE" w:rsidP="00BC6CCE">
            <w:pPr>
              <w:spacing w:before="0" w:line="240" w:lineRule="auto"/>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val="en-AU" w:eastAsia="hr-HR"/>
              </w:rPr>
            </w:pPr>
            <w:r w:rsidRPr="00BC6CCE">
              <w:rPr>
                <w:rFonts w:asciiTheme="minorHAnsi" w:hAnsiTheme="minorHAnsi"/>
                <w:lang w:val="en-AU" w:eastAsia="hr-HR"/>
              </w:rPr>
              <w:t>High</w:t>
            </w:r>
          </w:p>
        </w:tc>
      </w:tr>
      <w:tr w:rsidR="00BC6CCE" w:rsidRPr="00BC6CCE" w14:paraId="2B40DC88" w14:textId="77777777" w:rsidTr="007B4F6B">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hideMark/>
          </w:tcPr>
          <w:p w14:paraId="3B4F0FE8" w14:textId="77777777" w:rsidR="00BC6CCE" w:rsidRPr="00BC6CCE" w:rsidRDefault="00BC6CCE" w:rsidP="007B4F6B">
            <w:pPr>
              <w:spacing w:before="0" w:line="240" w:lineRule="auto"/>
              <w:ind w:left="0" w:right="0"/>
              <w:jc w:val="left"/>
              <w:rPr>
                <w:rFonts w:asciiTheme="minorHAnsi" w:hAnsiTheme="minorHAnsi"/>
                <w:lang w:val="en-AU" w:eastAsia="hr-HR"/>
              </w:rPr>
            </w:pPr>
            <w:r w:rsidRPr="00BC6CCE">
              <w:rPr>
                <w:rFonts w:asciiTheme="minorHAnsi" w:hAnsiTheme="minorHAnsi"/>
                <w:lang w:val="en-AU" w:eastAsia="hr-HR"/>
              </w:rPr>
              <w:t>Ministry of Transport and Infrastructure</w:t>
            </w:r>
          </w:p>
        </w:tc>
        <w:tc>
          <w:tcPr>
            <w:tcW w:w="0" w:type="auto"/>
            <w:shd w:val="clear" w:color="auto" w:fill="F2F2F2" w:themeFill="background1" w:themeFillShade="F2"/>
            <w:hideMark/>
          </w:tcPr>
          <w:p w14:paraId="632219CF" w14:textId="77777777" w:rsidR="00BC6CCE" w:rsidRPr="00BC6CCE" w:rsidRDefault="00BC6CCE" w:rsidP="007B4F6B">
            <w:pPr>
              <w:spacing w:before="0" w:line="240" w:lineRule="auto"/>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val="en-AU" w:eastAsia="hr-HR"/>
              </w:rPr>
            </w:pPr>
            <w:r w:rsidRPr="00BC6CCE">
              <w:rPr>
                <w:rFonts w:asciiTheme="minorHAnsi" w:hAnsiTheme="minorHAnsi"/>
                <w:lang w:val="en-AU" w:eastAsia="hr-HR"/>
              </w:rPr>
              <w:t>Integrates hydrogen mobility (public transport, logistics) into transport decarbonisation plans.</w:t>
            </w:r>
          </w:p>
        </w:tc>
        <w:tc>
          <w:tcPr>
            <w:tcW w:w="0" w:type="auto"/>
            <w:shd w:val="clear" w:color="auto" w:fill="F2F2F2" w:themeFill="background1" w:themeFillShade="F2"/>
            <w:hideMark/>
          </w:tcPr>
          <w:p w14:paraId="2E4514EF" w14:textId="77777777" w:rsidR="00BC6CCE" w:rsidRPr="00BC6CCE" w:rsidRDefault="00BC6CCE" w:rsidP="007B4F6B">
            <w:pPr>
              <w:spacing w:before="0" w:line="240" w:lineRule="auto"/>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val="en-AU" w:eastAsia="hr-HR"/>
              </w:rPr>
            </w:pPr>
            <w:r w:rsidRPr="00BC6CCE">
              <w:rPr>
                <w:rFonts w:asciiTheme="minorHAnsi" w:hAnsiTheme="minorHAnsi"/>
                <w:lang w:val="en-AU" w:eastAsia="hr-HR"/>
              </w:rPr>
              <w:t>Medium</w:t>
            </w:r>
          </w:p>
        </w:tc>
      </w:tr>
      <w:tr w:rsidR="00BC4A44" w:rsidRPr="00BC6CCE" w14:paraId="6D2C04DA" w14:textId="77777777" w:rsidTr="007B4F6B">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14:paraId="7ED5F8DE" w14:textId="7FC1370A" w:rsidR="00BC4A44" w:rsidRPr="00BC6CCE" w:rsidRDefault="00BC4A44" w:rsidP="007B4F6B">
            <w:pPr>
              <w:spacing w:before="0" w:line="240" w:lineRule="auto"/>
              <w:ind w:left="0" w:right="0"/>
              <w:jc w:val="left"/>
              <w:rPr>
                <w:rFonts w:asciiTheme="minorHAnsi" w:hAnsiTheme="minorHAnsi"/>
                <w:lang w:val="en-AU" w:eastAsia="hr-HR"/>
              </w:rPr>
            </w:pPr>
            <w:r>
              <w:rPr>
                <w:rFonts w:asciiTheme="minorHAnsi" w:hAnsiTheme="minorHAnsi"/>
                <w:lang w:val="en-AU" w:eastAsia="hr-HR"/>
              </w:rPr>
              <w:t>Croatian Hydrocarbon Agency (CHA)</w:t>
            </w:r>
          </w:p>
        </w:tc>
        <w:tc>
          <w:tcPr>
            <w:tcW w:w="0" w:type="auto"/>
            <w:shd w:val="clear" w:color="auto" w:fill="F2F2F2" w:themeFill="background1" w:themeFillShade="F2"/>
          </w:tcPr>
          <w:p w14:paraId="71B952A8" w14:textId="3269D38F" w:rsidR="00BC4A44" w:rsidRPr="00BC6CCE" w:rsidRDefault="00BC4A44" w:rsidP="007B4F6B">
            <w:pPr>
              <w:spacing w:before="0" w:line="240" w:lineRule="auto"/>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val="en-AU" w:eastAsia="hr-HR"/>
              </w:rPr>
            </w:pPr>
            <w:r>
              <w:rPr>
                <w:rFonts w:asciiTheme="minorHAnsi" w:hAnsiTheme="minorHAnsi"/>
                <w:lang w:val="en-AU" w:eastAsia="hr-HR"/>
              </w:rPr>
              <w:t>National coordinating authority for hydrogen</w:t>
            </w:r>
          </w:p>
        </w:tc>
        <w:tc>
          <w:tcPr>
            <w:tcW w:w="0" w:type="auto"/>
            <w:shd w:val="clear" w:color="auto" w:fill="F2F2F2" w:themeFill="background1" w:themeFillShade="F2"/>
          </w:tcPr>
          <w:p w14:paraId="6DA4FA87" w14:textId="211DDEF1" w:rsidR="00BC4A44" w:rsidRPr="00BC6CCE" w:rsidRDefault="00BC4A44" w:rsidP="007B4F6B">
            <w:pPr>
              <w:spacing w:before="0" w:line="240" w:lineRule="auto"/>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val="en-AU" w:eastAsia="hr-HR"/>
              </w:rPr>
            </w:pPr>
            <w:r>
              <w:rPr>
                <w:rFonts w:asciiTheme="minorHAnsi" w:hAnsiTheme="minorHAnsi"/>
                <w:lang w:val="en-AU" w:eastAsia="hr-HR"/>
              </w:rPr>
              <w:t>Medium</w:t>
            </w:r>
          </w:p>
        </w:tc>
      </w:tr>
    </w:tbl>
    <w:p w14:paraId="3D7B10ED" w14:textId="5150ED89" w:rsidR="00BC6CCE" w:rsidRPr="007B4F6B" w:rsidRDefault="00CF4172" w:rsidP="007B4F6B">
      <w:pPr>
        <w:pStyle w:val="Opisslike"/>
        <w:spacing w:after="0"/>
        <w:jc w:val="center"/>
        <w:rPr>
          <w:rFonts w:asciiTheme="minorHAnsi" w:hAnsiTheme="minorHAnsi"/>
        </w:rPr>
      </w:pPr>
      <w:bookmarkStart w:id="11" w:name="_Toc219232424"/>
      <w:r w:rsidRPr="007B4F6B">
        <w:rPr>
          <w:rFonts w:asciiTheme="minorHAnsi" w:hAnsiTheme="minorHAnsi"/>
        </w:rPr>
        <w:lastRenderedPageBreak/>
        <w:t xml:space="preserve">Table </w:t>
      </w:r>
      <w:r w:rsidRPr="007B4F6B">
        <w:rPr>
          <w:rFonts w:asciiTheme="minorHAnsi" w:hAnsiTheme="minorHAnsi"/>
        </w:rPr>
        <w:fldChar w:fldCharType="begin"/>
      </w:r>
      <w:r w:rsidRPr="007B4F6B">
        <w:rPr>
          <w:rFonts w:asciiTheme="minorHAnsi" w:hAnsiTheme="minorHAnsi"/>
        </w:rPr>
        <w:instrText xml:space="preserve"> SEQ Table \* ARABIC </w:instrText>
      </w:r>
      <w:r w:rsidRPr="007B4F6B">
        <w:rPr>
          <w:rFonts w:asciiTheme="minorHAnsi" w:hAnsiTheme="minorHAnsi"/>
        </w:rPr>
        <w:fldChar w:fldCharType="separate"/>
      </w:r>
      <w:r w:rsidR="00655C39">
        <w:rPr>
          <w:rFonts w:asciiTheme="minorHAnsi" w:hAnsiTheme="minorHAnsi"/>
          <w:noProof/>
        </w:rPr>
        <w:t>1</w:t>
      </w:r>
      <w:r w:rsidRPr="007B4F6B">
        <w:rPr>
          <w:rFonts w:asciiTheme="minorHAnsi" w:hAnsiTheme="minorHAnsi"/>
        </w:rPr>
        <w:fldChar w:fldCharType="end"/>
      </w:r>
      <w:r w:rsidRPr="007B4F6B">
        <w:rPr>
          <w:rFonts w:asciiTheme="minorHAnsi" w:hAnsiTheme="minorHAnsi"/>
        </w:rPr>
        <w:t>:</w:t>
      </w:r>
      <w:r w:rsidR="00BC6CCE" w:rsidRPr="007B4F6B">
        <w:rPr>
          <w:rFonts w:asciiTheme="minorHAnsi" w:hAnsiTheme="minorHAnsi"/>
        </w:rPr>
        <w:t xml:space="preserve"> Government and Regulatory Stakeholders</w:t>
      </w:r>
      <w:bookmarkEnd w:id="11"/>
    </w:p>
    <w:p w14:paraId="6C502405" w14:textId="4C8C9870" w:rsidR="007B4F6B" w:rsidRPr="00BC6CCE" w:rsidRDefault="00BC6CCE" w:rsidP="00B63AA4">
      <w:pPr>
        <w:spacing w:before="100" w:beforeAutospacing="1" w:after="100" w:afterAutospacing="1"/>
        <w:ind w:left="0" w:right="0"/>
        <w:rPr>
          <w:rFonts w:asciiTheme="minorHAnsi" w:hAnsiTheme="minorHAnsi"/>
          <w:lang w:val="en-AU" w:eastAsia="hr-HR"/>
        </w:rPr>
      </w:pPr>
      <w:r w:rsidRPr="00BC6CCE">
        <w:rPr>
          <w:rFonts w:asciiTheme="minorHAnsi" w:hAnsiTheme="minorHAnsi"/>
          <w:lang w:val="en-AU" w:eastAsia="hr-HR"/>
        </w:rPr>
        <w:t>State-owned or majority public enterprises are pivotal in developing large-scale hydrogen infrastructure and integrating hydrogen into existing energy systems.</w:t>
      </w:r>
    </w:p>
    <w:tbl>
      <w:tblPr>
        <w:tblStyle w:val="Svijetlareetkatablice"/>
        <w:tblW w:w="0" w:type="auto"/>
        <w:tblLook w:val="04A0" w:firstRow="1" w:lastRow="0" w:firstColumn="1" w:lastColumn="0" w:noHBand="0" w:noVBand="1"/>
      </w:tblPr>
      <w:tblGrid>
        <w:gridCol w:w="2366"/>
        <w:gridCol w:w="4713"/>
        <w:gridCol w:w="2549"/>
      </w:tblGrid>
      <w:tr w:rsidR="00BC6CCE" w:rsidRPr="00BC6CCE" w14:paraId="499E8FB7" w14:textId="77777777" w:rsidTr="007B4F6B">
        <w:tc>
          <w:tcPr>
            <w:tcW w:w="0" w:type="auto"/>
            <w:shd w:val="clear" w:color="auto" w:fill="9ACA3C"/>
            <w:hideMark/>
          </w:tcPr>
          <w:p w14:paraId="551D98DD" w14:textId="77777777" w:rsidR="00BC6CCE" w:rsidRPr="00910D95" w:rsidRDefault="00BC6CCE" w:rsidP="00BC6CCE">
            <w:pPr>
              <w:spacing w:before="0" w:line="240" w:lineRule="auto"/>
              <w:ind w:left="0" w:right="0"/>
              <w:jc w:val="center"/>
              <w:rPr>
                <w:rFonts w:asciiTheme="minorHAnsi" w:hAnsiTheme="minorHAnsi" w:cs="Calibri"/>
                <w:b/>
                <w:bCs/>
                <w:color w:val="FFFFFF" w:themeColor="background1"/>
                <w:lang w:val="en-AU" w:eastAsia="hr-HR"/>
              </w:rPr>
            </w:pPr>
            <w:r w:rsidRPr="00910D95">
              <w:rPr>
                <w:rFonts w:asciiTheme="minorHAnsi" w:hAnsiTheme="minorHAnsi" w:cs="Calibri"/>
                <w:b/>
                <w:bCs/>
                <w:color w:val="FFFFFF" w:themeColor="background1"/>
                <w:lang w:val="en-AU" w:eastAsia="hr-HR"/>
              </w:rPr>
              <w:t>Entity</w:t>
            </w:r>
          </w:p>
        </w:tc>
        <w:tc>
          <w:tcPr>
            <w:tcW w:w="0" w:type="auto"/>
            <w:shd w:val="clear" w:color="auto" w:fill="9ACA3C"/>
            <w:hideMark/>
          </w:tcPr>
          <w:p w14:paraId="6B7E3A03" w14:textId="77777777" w:rsidR="00BC6CCE" w:rsidRPr="00910D95" w:rsidRDefault="00BC6CCE" w:rsidP="00BC6CCE">
            <w:pPr>
              <w:spacing w:before="0" w:line="240" w:lineRule="auto"/>
              <w:ind w:left="0" w:right="0"/>
              <w:jc w:val="center"/>
              <w:rPr>
                <w:rFonts w:asciiTheme="minorHAnsi" w:hAnsiTheme="minorHAnsi" w:cs="Calibri"/>
                <w:b/>
                <w:bCs/>
                <w:color w:val="FFFFFF" w:themeColor="background1"/>
                <w:lang w:val="en-AU" w:eastAsia="hr-HR"/>
              </w:rPr>
            </w:pPr>
            <w:r w:rsidRPr="00910D95">
              <w:rPr>
                <w:rFonts w:asciiTheme="minorHAnsi" w:hAnsiTheme="minorHAnsi" w:cs="Calibri"/>
                <w:b/>
                <w:bCs/>
                <w:color w:val="FFFFFF" w:themeColor="background1"/>
                <w:lang w:val="en-AU" w:eastAsia="hr-HR"/>
              </w:rPr>
              <w:t>Role</w:t>
            </w:r>
          </w:p>
        </w:tc>
        <w:tc>
          <w:tcPr>
            <w:tcW w:w="0" w:type="auto"/>
            <w:shd w:val="clear" w:color="auto" w:fill="9ACA3C"/>
            <w:hideMark/>
          </w:tcPr>
          <w:p w14:paraId="64847C39" w14:textId="7D3471A9" w:rsidR="00BC6CCE" w:rsidRPr="00910D95" w:rsidRDefault="00BC6CCE" w:rsidP="00BC6CCE">
            <w:pPr>
              <w:spacing w:before="0" w:line="240" w:lineRule="auto"/>
              <w:ind w:left="0" w:right="0"/>
              <w:jc w:val="center"/>
              <w:rPr>
                <w:rFonts w:asciiTheme="minorHAnsi" w:hAnsiTheme="minorHAnsi" w:cs="Calibri"/>
                <w:b/>
                <w:bCs/>
                <w:color w:val="FFFFFF" w:themeColor="background1"/>
                <w:lang w:val="en-AU" w:eastAsia="hr-HR"/>
              </w:rPr>
            </w:pPr>
            <w:r w:rsidRPr="00910D95">
              <w:rPr>
                <w:rFonts w:asciiTheme="minorHAnsi" w:hAnsiTheme="minorHAnsi" w:cs="Calibri"/>
                <w:b/>
                <w:bCs/>
                <w:color w:val="FFFFFF" w:themeColor="background1"/>
                <w:lang w:val="en-AU" w:eastAsia="hr-HR"/>
              </w:rPr>
              <w:t xml:space="preserve">Focus </w:t>
            </w:r>
            <w:r w:rsidR="007B4F6B" w:rsidRPr="00910D95">
              <w:rPr>
                <w:rFonts w:asciiTheme="minorHAnsi" w:hAnsiTheme="minorHAnsi" w:cs="Calibri"/>
                <w:b/>
                <w:bCs/>
                <w:color w:val="FFFFFF" w:themeColor="background1"/>
                <w:lang w:val="en-AU" w:eastAsia="hr-HR"/>
              </w:rPr>
              <w:t>a</w:t>
            </w:r>
            <w:r w:rsidRPr="00910D95">
              <w:rPr>
                <w:rFonts w:asciiTheme="minorHAnsi" w:hAnsiTheme="minorHAnsi" w:cs="Calibri"/>
                <w:b/>
                <w:bCs/>
                <w:color w:val="FFFFFF" w:themeColor="background1"/>
                <w:lang w:val="en-AU" w:eastAsia="hr-HR"/>
              </w:rPr>
              <w:t>reas</w:t>
            </w:r>
          </w:p>
        </w:tc>
      </w:tr>
      <w:tr w:rsidR="00BC6CCE" w:rsidRPr="00BC6CCE" w14:paraId="36D47E80" w14:textId="77777777" w:rsidTr="007B4F6B">
        <w:tc>
          <w:tcPr>
            <w:tcW w:w="0" w:type="auto"/>
            <w:shd w:val="clear" w:color="auto" w:fill="F2F2F2" w:themeFill="background1" w:themeFillShade="F2"/>
            <w:hideMark/>
          </w:tcPr>
          <w:p w14:paraId="62FC46BB" w14:textId="77777777" w:rsidR="00BC6CCE" w:rsidRPr="00BC6CCE" w:rsidRDefault="00BC6CCE" w:rsidP="00BC6CCE">
            <w:pPr>
              <w:spacing w:before="0" w:line="240" w:lineRule="auto"/>
              <w:ind w:left="0" w:right="0"/>
              <w:jc w:val="left"/>
              <w:rPr>
                <w:rFonts w:asciiTheme="minorHAnsi" w:hAnsiTheme="minorHAnsi" w:cs="Calibri"/>
                <w:lang w:val="en-AU" w:eastAsia="hr-HR"/>
              </w:rPr>
            </w:pPr>
            <w:r w:rsidRPr="00BC6CCE">
              <w:rPr>
                <w:rFonts w:asciiTheme="minorHAnsi" w:hAnsiTheme="minorHAnsi" w:cs="Calibri"/>
                <w:lang w:val="en-AU" w:eastAsia="hr-HR"/>
              </w:rPr>
              <w:t>HEP Group (Hrvatska Elektroprivreda)</w:t>
            </w:r>
          </w:p>
        </w:tc>
        <w:tc>
          <w:tcPr>
            <w:tcW w:w="0" w:type="auto"/>
            <w:shd w:val="clear" w:color="auto" w:fill="F2F2F2" w:themeFill="background1" w:themeFillShade="F2"/>
            <w:hideMark/>
          </w:tcPr>
          <w:p w14:paraId="03325951" w14:textId="77777777" w:rsidR="00BC6CCE" w:rsidRPr="00BC6CCE" w:rsidRDefault="00BC6CCE" w:rsidP="00BC6CCE">
            <w:pPr>
              <w:spacing w:before="0" w:line="240" w:lineRule="auto"/>
              <w:ind w:left="0" w:right="0"/>
              <w:jc w:val="left"/>
              <w:rPr>
                <w:rFonts w:asciiTheme="minorHAnsi" w:hAnsiTheme="minorHAnsi" w:cs="Calibri"/>
                <w:lang w:val="en-AU" w:eastAsia="hr-HR"/>
              </w:rPr>
            </w:pPr>
            <w:r w:rsidRPr="00BC6CCE">
              <w:rPr>
                <w:rFonts w:asciiTheme="minorHAnsi" w:hAnsiTheme="minorHAnsi" w:cs="Calibri"/>
                <w:lang w:val="en-AU" w:eastAsia="hr-HR"/>
              </w:rPr>
              <w:t>National electricity utility; developer of renewable generation projects and pilot electrolyzers; future provider of hydrogen power balancing services.</w:t>
            </w:r>
          </w:p>
        </w:tc>
        <w:tc>
          <w:tcPr>
            <w:tcW w:w="0" w:type="auto"/>
            <w:shd w:val="clear" w:color="auto" w:fill="F2F2F2" w:themeFill="background1" w:themeFillShade="F2"/>
            <w:hideMark/>
          </w:tcPr>
          <w:p w14:paraId="3D9922B0" w14:textId="77777777" w:rsidR="00BC6CCE" w:rsidRPr="00BC6CCE" w:rsidRDefault="00BC6CCE" w:rsidP="00BC6CCE">
            <w:pPr>
              <w:spacing w:before="0" w:line="240" w:lineRule="auto"/>
              <w:ind w:left="0" w:right="0"/>
              <w:jc w:val="left"/>
              <w:rPr>
                <w:rFonts w:asciiTheme="minorHAnsi" w:hAnsiTheme="minorHAnsi" w:cs="Calibri"/>
                <w:lang w:val="en-AU" w:eastAsia="hr-HR"/>
              </w:rPr>
            </w:pPr>
            <w:r w:rsidRPr="00BC6CCE">
              <w:rPr>
                <w:rFonts w:asciiTheme="minorHAnsi" w:hAnsiTheme="minorHAnsi" w:cs="Calibri"/>
                <w:lang w:val="en-AU" w:eastAsia="hr-HR"/>
              </w:rPr>
              <w:t>Renewable-based hydrogen production, sector coupling</w:t>
            </w:r>
          </w:p>
        </w:tc>
      </w:tr>
      <w:tr w:rsidR="00BC6CCE" w:rsidRPr="00BC6CCE" w14:paraId="09CB469F" w14:textId="77777777" w:rsidTr="007B4F6B">
        <w:tc>
          <w:tcPr>
            <w:tcW w:w="0" w:type="auto"/>
            <w:shd w:val="clear" w:color="auto" w:fill="F2F2F2" w:themeFill="background1" w:themeFillShade="F2"/>
            <w:hideMark/>
          </w:tcPr>
          <w:p w14:paraId="1105C6B3" w14:textId="77777777" w:rsidR="00BC6CCE" w:rsidRPr="00BC6CCE" w:rsidRDefault="00BC6CCE" w:rsidP="00BC6CCE">
            <w:pPr>
              <w:spacing w:before="0" w:line="240" w:lineRule="auto"/>
              <w:ind w:left="0" w:right="0"/>
              <w:jc w:val="left"/>
              <w:rPr>
                <w:rFonts w:asciiTheme="minorHAnsi" w:hAnsiTheme="minorHAnsi" w:cs="Calibri"/>
                <w:lang w:val="en-AU" w:eastAsia="hr-HR"/>
              </w:rPr>
            </w:pPr>
            <w:r w:rsidRPr="00BC6CCE">
              <w:rPr>
                <w:rFonts w:asciiTheme="minorHAnsi" w:hAnsiTheme="minorHAnsi" w:cs="Calibri"/>
                <w:lang w:val="en-AU" w:eastAsia="hr-HR"/>
              </w:rPr>
              <w:t>INA Group</w:t>
            </w:r>
          </w:p>
        </w:tc>
        <w:tc>
          <w:tcPr>
            <w:tcW w:w="0" w:type="auto"/>
            <w:shd w:val="clear" w:color="auto" w:fill="F2F2F2" w:themeFill="background1" w:themeFillShade="F2"/>
            <w:hideMark/>
          </w:tcPr>
          <w:p w14:paraId="25A47E78" w14:textId="77777777" w:rsidR="00BC6CCE" w:rsidRPr="00BC6CCE" w:rsidRDefault="00BC6CCE" w:rsidP="00BC6CCE">
            <w:pPr>
              <w:spacing w:before="0" w:line="240" w:lineRule="auto"/>
              <w:ind w:left="0" w:right="0"/>
              <w:jc w:val="left"/>
              <w:rPr>
                <w:rFonts w:asciiTheme="minorHAnsi" w:hAnsiTheme="minorHAnsi" w:cs="Calibri"/>
                <w:lang w:val="en-AU" w:eastAsia="hr-HR"/>
              </w:rPr>
            </w:pPr>
            <w:r w:rsidRPr="00BC6CCE">
              <w:rPr>
                <w:rFonts w:asciiTheme="minorHAnsi" w:hAnsiTheme="minorHAnsi" w:cs="Calibri"/>
                <w:lang w:val="en-AU" w:eastAsia="hr-HR"/>
              </w:rPr>
              <w:t>National oil and gas company; exploring hydrogen production and use in refineries and mobility; participant in IPCEI projects.</w:t>
            </w:r>
          </w:p>
        </w:tc>
        <w:tc>
          <w:tcPr>
            <w:tcW w:w="0" w:type="auto"/>
            <w:shd w:val="clear" w:color="auto" w:fill="F2F2F2" w:themeFill="background1" w:themeFillShade="F2"/>
            <w:hideMark/>
          </w:tcPr>
          <w:p w14:paraId="32949956" w14:textId="77777777" w:rsidR="00BC6CCE" w:rsidRPr="00BC6CCE" w:rsidRDefault="00BC6CCE" w:rsidP="00BC6CCE">
            <w:pPr>
              <w:spacing w:before="0" w:line="240" w:lineRule="auto"/>
              <w:ind w:left="0" w:right="0"/>
              <w:jc w:val="left"/>
              <w:rPr>
                <w:rFonts w:asciiTheme="minorHAnsi" w:hAnsiTheme="minorHAnsi" w:cs="Calibri"/>
                <w:lang w:val="en-AU" w:eastAsia="hr-HR"/>
              </w:rPr>
            </w:pPr>
            <w:r w:rsidRPr="00BC6CCE">
              <w:rPr>
                <w:rFonts w:asciiTheme="minorHAnsi" w:hAnsiTheme="minorHAnsi" w:cs="Calibri"/>
                <w:lang w:val="en-AU" w:eastAsia="hr-HR"/>
              </w:rPr>
              <w:t>Industrial hydrogen use, refining, low-carbon fuels</w:t>
            </w:r>
          </w:p>
        </w:tc>
      </w:tr>
      <w:tr w:rsidR="00BC6CCE" w:rsidRPr="00B63AA4" w14:paraId="3C580D63" w14:textId="77777777" w:rsidTr="007B4F6B">
        <w:tc>
          <w:tcPr>
            <w:tcW w:w="0" w:type="auto"/>
            <w:shd w:val="clear" w:color="auto" w:fill="F2F2F2" w:themeFill="background1" w:themeFillShade="F2"/>
            <w:hideMark/>
          </w:tcPr>
          <w:p w14:paraId="5660F516" w14:textId="77777777" w:rsidR="00BC6CCE" w:rsidRPr="00BC6CCE" w:rsidRDefault="00BC6CCE" w:rsidP="00BC6CCE">
            <w:pPr>
              <w:spacing w:before="0" w:line="240" w:lineRule="auto"/>
              <w:ind w:left="0" w:right="0"/>
              <w:jc w:val="left"/>
              <w:rPr>
                <w:rFonts w:asciiTheme="minorHAnsi" w:hAnsiTheme="minorHAnsi" w:cs="Calibri"/>
                <w:lang w:val="en-AU" w:eastAsia="hr-HR"/>
              </w:rPr>
            </w:pPr>
            <w:r w:rsidRPr="00BC6CCE">
              <w:rPr>
                <w:rFonts w:asciiTheme="minorHAnsi" w:hAnsiTheme="minorHAnsi" w:cs="Calibri"/>
                <w:lang w:val="en-AU" w:eastAsia="hr-HR"/>
              </w:rPr>
              <w:t>Plinacro d.o.o.</w:t>
            </w:r>
          </w:p>
        </w:tc>
        <w:tc>
          <w:tcPr>
            <w:tcW w:w="0" w:type="auto"/>
            <w:shd w:val="clear" w:color="auto" w:fill="F2F2F2" w:themeFill="background1" w:themeFillShade="F2"/>
            <w:hideMark/>
          </w:tcPr>
          <w:p w14:paraId="60A73717" w14:textId="77777777" w:rsidR="00BC6CCE" w:rsidRPr="00BC6CCE" w:rsidRDefault="00BC6CCE" w:rsidP="00BC6CCE">
            <w:pPr>
              <w:spacing w:before="0" w:line="240" w:lineRule="auto"/>
              <w:ind w:left="0" w:right="0"/>
              <w:jc w:val="left"/>
              <w:rPr>
                <w:rFonts w:asciiTheme="minorHAnsi" w:hAnsiTheme="minorHAnsi" w:cs="Calibri"/>
                <w:lang w:val="en-AU" w:eastAsia="hr-HR"/>
              </w:rPr>
            </w:pPr>
            <w:r w:rsidRPr="00BC6CCE">
              <w:rPr>
                <w:rFonts w:asciiTheme="minorHAnsi" w:hAnsiTheme="minorHAnsi" w:cs="Calibri"/>
                <w:lang w:val="en-AU" w:eastAsia="hr-HR"/>
              </w:rPr>
              <w:t>Gas transmission system operator; studying conversion of gas pipelines for hydrogen transport; national partner in the European Hydrogen Backbone (EHB).</w:t>
            </w:r>
          </w:p>
        </w:tc>
        <w:tc>
          <w:tcPr>
            <w:tcW w:w="0" w:type="auto"/>
            <w:shd w:val="clear" w:color="auto" w:fill="F2F2F2" w:themeFill="background1" w:themeFillShade="F2"/>
            <w:hideMark/>
          </w:tcPr>
          <w:p w14:paraId="09F94EFE" w14:textId="77777777" w:rsidR="00BC6CCE" w:rsidRPr="004D313E" w:rsidRDefault="00BC6CCE" w:rsidP="00BC6CCE">
            <w:pPr>
              <w:spacing w:before="0" w:line="240" w:lineRule="auto"/>
              <w:ind w:left="0" w:right="0"/>
              <w:jc w:val="left"/>
              <w:rPr>
                <w:rFonts w:asciiTheme="minorHAnsi" w:hAnsiTheme="minorHAnsi" w:cs="Calibri"/>
                <w:lang w:val="fr-BE" w:eastAsia="hr-HR"/>
              </w:rPr>
            </w:pPr>
            <w:r w:rsidRPr="004D313E">
              <w:rPr>
                <w:rFonts w:asciiTheme="minorHAnsi" w:hAnsiTheme="minorHAnsi" w:cs="Calibri"/>
                <w:lang w:val="fr-BE" w:eastAsia="hr-HR"/>
              </w:rPr>
              <w:t>Infrastructure conversion, cross-border interconnection</w:t>
            </w:r>
          </w:p>
        </w:tc>
      </w:tr>
      <w:tr w:rsidR="00BC6CCE" w:rsidRPr="00BC6CCE" w14:paraId="28F2C491" w14:textId="77777777" w:rsidTr="007B4F6B">
        <w:tc>
          <w:tcPr>
            <w:tcW w:w="0" w:type="auto"/>
            <w:shd w:val="clear" w:color="auto" w:fill="F2F2F2" w:themeFill="background1" w:themeFillShade="F2"/>
            <w:hideMark/>
          </w:tcPr>
          <w:p w14:paraId="190661C3" w14:textId="77777777" w:rsidR="00BC6CCE" w:rsidRPr="00BC6CCE" w:rsidRDefault="00BC6CCE" w:rsidP="00BC6CCE">
            <w:pPr>
              <w:spacing w:before="0" w:line="240" w:lineRule="auto"/>
              <w:ind w:left="0" w:right="0"/>
              <w:jc w:val="left"/>
              <w:rPr>
                <w:rFonts w:asciiTheme="minorHAnsi" w:hAnsiTheme="minorHAnsi" w:cs="Calibri"/>
                <w:lang w:val="en-AU" w:eastAsia="hr-HR"/>
              </w:rPr>
            </w:pPr>
            <w:r w:rsidRPr="00BC6CCE">
              <w:rPr>
                <w:rFonts w:asciiTheme="minorHAnsi" w:hAnsiTheme="minorHAnsi" w:cs="Calibri"/>
                <w:lang w:val="en-AU" w:eastAsia="hr-HR"/>
              </w:rPr>
              <w:t>JANAF d.d.</w:t>
            </w:r>
          </w:p>
        </w:tc>
        <w:tc>
          <w:tcPr>
            <w:tcW w:w="0" w:type="auto"/>
            <w:shd w:val="clear" w:color="auto" w:fill="F2F2F2" w:themeFill="background1" w:themeFillShade="F2"/>
            <w:hideMark/>
          </w:tcPr>
          <w:p w14:paraId="24E144AB" w14:textId="77777777" w:rsidR="00BC6CCE" w:rsidRPr="00BC6CCE" w:rsidRDefault="00BC6CCE" w:rsidP="00BC6CCE">
            <w:pPr>
              <w:spacing w:before="0" w:line="240" w:lineRule="auto"/>
              <w:ind w:left="0" w:right="0"/>
              <w:jc w:val="left"/>
              <w:rPr>
                <w:rFonts w:asciiTheme="minorHAnsi" w:hAnsiTheme="minorHAnsi" w:cs="Calibri"/>
                <w:lang w:val="en-AU" w:eastAsia="hr-HR"/>
              </w:rPr>
            </w:pPr>
            <w:r w:rsidRPr="00BC6CCE">
              <w:rPr>
                <w:rFonts w:asciiTheme="minorHAnsi" w:hAnsiTheme="minorHAnsi" w:cs="Calibri"/>
                <w:lang w:val="en-AU" w:eastAsia="hr-HR"/>
              </w:rPr>
              <w:t>Operator of oil pipeline network; potential partner in developing hydrogen logistics and storage facilities.</w:t>
            </w:r>
          </w:p>
        </w:tc>
        <w:tc>
          <w:tcPr>
            <w:tcW w:w="0" w:type="auto"/>
            <w:shd w:val="clear" w:color="auto" w:fill="F2F2F2" w:themeFill="background1" w:themeFillShade="F2"/>
            <w:hideMark/>
          </w:tcPr>
          <w:p w14:paraId="71140AE4" w14:textId="77777777" w:rsidR="00BC6CCE" w:rsidRPr="00BC6CCE" w:rsidRDefault="00BC6CCE" w:rsidP="00BC6CCE">
            <w:pPr>
              <w:spacing w:before="0" w:line="240" w:lineRule="auto"/>
              <w:ind w:left="0" w:right="0"/>
              <w:jc w:val="left"/>
              <w:rPr>
                <w:rFonts w:asciiTheme="minorHAnsi" w:hAnsiTheme="minorHAnsi" w:cs="Calibri"/>
                <w:lang w:val="en-AU" w:eastAsia="hr-HR"/>
              </w:rPr>
            </w:pPr>
            <w:r w:rsidRPr="00BC6CCE">
              <w:rPr>
                <w:rFonts w:asciiTheme="minorHAnsi" w:hAnsiTheme="minorHAnsi" w:cs="Calibri"/>
                <w:lang w:val="en-AU" w:eastAsia="hr-HR"/>
              </w:rPr>
              <w:t>Transport and storage</w:t>
            </w:r>
          </w:p>
        </w:tc>
      </w:tr>
      <w:tr w:rsidR="00BC6CCE" w:rsidRPr="00BC6CCE" w14:paraId="3DA579F0" w14:textId="77777777" w:rsidTr="007B4F6B">
        <w:tc>
          <w:tcPr>
            <w:tcW w:w="0" w:type="auto"/>
            <w:shd w:val="clear" w:color="auto" w:fill="F2F2F2" w:themeFill="background1" w:themeFillShade="F2"/>
            <w:hideMark/>
          </w:tcPr>
          <w:p w14:paraId="046BAC59" w14:textId="77777777" w:rsidR="00BC6CCE" w:rsidRPr="00BC6CCE" w:rsidRDefault="00BC6CCE" w:rsidP="00BC6CCE">
            <w:pPr>
              <w:spacing w:before="0" w:line="240" w:lineRule="auto"/>
              <w:ind w:left="0" w:right="0"/>
              <w:jc w:val="left"/>
              <w:rPr>
                <w:rFonts w:asciiTheme="minorHAnsi" w:hAnsiTheme="minorHAnsi" w:cs="Calibri"/>
                <w:lang w:val="en-AU" w:eastAsia="hr-HR"/>
              </w:rPr>
            </w:pPr>
            <w:r w:rsidRPr="00BC6CCE">
              <w:rPr>
                <w:rFonts w:asciiTheme="minorHAnsi" w:hAnsiTheme="minorHAnsi" w:cs="Calibri"/>
                <w:lang w:val="en-AU" w:eastAsia="hr-HR"/>
              </w:rPr>
              <w:t>HŽ Infrastruktura &amp; Croatian Motorways (HAC)</w:t>
            </w:r>
          </w:p>
        </w:tc>
        <w:tc>
          <w:tcPr>
            <w:tcW w:w="0" w:type="auto"/>
            <w:shd w:val="clear" w:color="auto" w:fill="F2F2F2" w:themeFill="background1" w:themeFillShade="F2"/>
            <w:hideMark/>
          </w:tcPr>
          <w:p w14:paraId="31BF7241" w14:textId="77777777" w:rsidR="00BC6CCE" w:rsidRPr="00BC6CCE" w:rsidRDefault="00BC6CCE" w:rsidP="00BC6CCE">
            <w:pPr>
              <w:spacing w:before="0" w:line="240" w:lineRule="auto"/>
              <w:ind w:left="0" w:right="0"/>
              <w:jc w:val="left"/>
              <w:rPr>
                <w:rFonts w:asciiTheme="minorHAnsi" w:hAnsiTheme="minorHAnsi" w:cs="Calibri"/>
                <w:lang w:val="en-AU" w:eastAsia="hr-HR"/>
              </w:rPr>
            </w:pPr>
            <w:r w:rsidRPr="00BC6CCE">
              <w:rPr>
                <w:rFonts w:asciiTheme="minorHAnsi" w:hAnsiTheme="minorHAnsi" w:cs="Calibri"/>
                <w:lang w:val="en-AU" w:eastAsia="hr-HR"/>
              </w:rPr>
              <w:t>Evaluate hydrogen applications in rail and heavy transport corridors.</w:t>
            </w:r>
          </w:p>
        </w:tc>
        <w:tc>
          <w:tcPr>
            <w:tcW w:w="0" w:type="auto"/>
            <w:shd w:val="clear" w:color="auto" w:fill="F2F2F2" w:themeFill="background1" w:themeFillShade="F2"/>
            <w:hideMark/>
          </w:tcPr>
          <w:p w14:paraId="188EE9A1" w14:textId="77777777" w:rsidR="00BC6CCE" w:rsidRPr="00BC6CCE" w:rsidRDefault="00BC6CCE" w:rsidP="00BC6CCE">
            <w:pPr>
              <w:spacing w:before="0" w:line="240" w:lineRule="auto"/>
              <w:ind w:left="0" w:right="0"/>
              <w:jc w:val="left"/>
              <w:rPr>
                <w:rFonts w:asciiTheme="minorHAnsi" w:hAnsiTheme="minorHAnsi" w:cs="Calibri"/>
                <w:lang w:val="en-AU" w:eastAsia="hr-HR"/>
              </w:rPr>
            </w:pPr>
            <w:r w:rsidRPr="00BC6CCE">
              <w:rPr>
                <w:rFonts w:asciiTheme="minorHAnsi" w:hAnsiTheme="minorHAnsi" w:cs="Calibri"/>
                <w:lang w:val="en-AU" w:eastAsia="hr-HR"/>
              </w:rPr>
              <w:t>Mobility integration</w:t>
            </w:r>
          </w:p>
        </w:tc>
      </w:tr>
    </w:tbl>
    <w:p w14:paraId="01C3CE5A" w14:textId="6DA68353" w:rsidR="009B11B5" w:rsidRPr="007B4F6B" w:rsidRDefault="007B4F6B" w:rsidP="007B4F6B">
      <w:pPr>
        <w:pStyle w:val="Opisslike"/>
        <w:jc w:val="center"/>
        <w:rPr>
          <w:rFonts w:asciiTheme="minorHAnsi" w:hAnsiTheme="minorHAnsi"/>
          <w:noProof/>
          <w:color w:val="90ABB1" w:themeColor="accent1"/>
          <w:spacing w:val="-10"/>
          <w:lang w:val="en-AU" w:eastAsia="de-AT"/>
        </w:rPr>
      </w:pPr>
      <w:bookmarkStart w:id="12" w:name="_Toc219232425"/>
      <w:r w:rsidRPr="007B4F6B">
        <w:rPr>
          <w:rFonts w:asciiTheme="minorHAnsi" w:hAnsiTheme="minorHAnsi"/>
        </w:rPr>
        <w:t xml:space="preserve">Table </w:t>
      </w:r>
      <w:r w:rsidRPr="007B4F6B">
        <w:rPr>
          <w:rFonts w:asciiTheme="minorHAnsi" w:hAnsiTheme="minorHAnsi"/>
        </w:rPr>
        <w:fldChar w:fldCharType="begin"/>
      </w:r>
      <w:r w:rsidRPr="007B4F6B">
        <w:rPr>
          <w:rFonts w:asciiTheme="minorHAnsi" w:hAnsiTheme="minorHAnsi"/>
        </w:rPr>
        <w:instrText xml:space="preserve"> SEQ Table \* ARABIC </w:instrText>
      </w:r>
      <w:r w:rsidRPr="007B4F6B">
        <w:rPr>
          <w:rFonts w:asciiTheme="minorHAnsi" w:hAnsiTheme="minorHAnsi"/>
        </w:rPr>
        <w:fldChar w:fldCharType="separate"/>
      </w:r>
      <w:r w:rsidR="00655C39">
        <w:rPr>
          <w:rFonts w:asciiTheme="minorHAnsi" w:hAnsiTheme="minorHAnsi"/>
          <w:noProof/>
        </w:rPr>
        <w:t>2</w:t>
      </w:r>
      <w:r w:rsidRPr="007B4F6B">
        <w:rPr>
          <w:rFonts w:asciiTheme="minorHAnsi" w:hAnsiTheme="minorHAnsi"/>
        </w:rPr>
        <w:fldChar w:fldCharType="end"/>
      </w:r>
      <w:r w:rsidRPr="007B4F6B">
        <w:rPr>
          <w:rFonts w:asciiTheme="minorHAnsi" w:hAnsiTheme="minorHAnsi" w:cs="Calibri"/>
          <w:lang w:val="en-AU" w:eastAsia="hr-HR"/>
        </w:rPr>
        <w:t xml:space="preserve">: </w:t>
      </w:r>
      <w:r w:rsidR="00BC6CCE" w:rsidRPr="007B4F6B">
        <w:rPr>
          <w:rFonts w:asciiTheme="minorHAnsi" w:hAnsiTheme="minorHAnsi" w:cs="Calibri"/>
          <w:lang w:val="en-AU" w:eastAsia="hr-HR"/>
        </w:rPr>
        <w:t xml:space="preserve"> Public Enterprises and Infrastructure Operators</w:t>
      </w:r>
      <w:bookmarkEnd w:id="12"/>
    </w:p>
    <w:p w14:paraId="2BF57ECB" w14:textId="77777777" w:rsidR="009B11B5" w:rsidRDefault="009B11B5" w:rsidP="00B63AA4">
      <w:pPr>
        <w:spacing w:before="0"/>
        <w:ind w:left="0" w:right="0"/>
        <w:jc w:val="left"/>
        <w:rPr>
          <w:rFonts w:asciiTheme="minorHAnsi" w:hAnsiTheme="minorHAnsi"/>
          <w:noProof/>
          <w:color w:val="90ABB1" w:themeColor="accent1"/>
          <w:spacing w:val="-10"/>
          <w:lang w:val="en-AU" w:eastAsia="de-AT"/>
        </w:rPr>
      </w:pPr>
      <w:r w:rsidRPr="009B11B5">
        <w:rPr>
          <w:rFonts w:asciiTheme="minorHAnsi" w:hAnsiTheme="minorHAnsi"/>
        </w:rPr>
        <w:t>The private sector provides technological innovation, investment capital, and early-stage deployment initiatives.</w:t>
      </w:r>
      <w:r w:rsidRPr="009B11B5">
        <w:rPr>
          <w:rFonts w:asciiTheme="minorHAnsi" w:hAnsiTheme="minorHAnsi"/>
          <w:noProof/>
          <w:color w:val="90ABB1" w:themeColor="accent1"/>
          <w:spacing w:val="-10"/>
          <w:lang w:val="en-AU" w:eastAsia="de-AT"/>
        </w:rPr>
        <w:t xml:space="preserve"> </w:t>
      </w:r>
    </w:p>
    <w:p w14:paraId="2863DC3D" w14:textId="77777777" w:rsidR="009B11B5" w:rsidRDefault="009B11B5">
      <w:pPr>
        <w:spacing w:before="0" w:line="240" w:lineRule="auto"/>
        <w:ind w:left="0" w:right="0"/>
        <w:jc w:val="left"/>
        <w:rPr>
          <w:rFonts w:asciiTheme="minorHAnsi" w:hAnsiTheme="minorHAnsi"/>
          <w:noProof/>
          <w:color w:val="90ABB1" w:themeColor="accent1"/>
          <w:spacing w:val="-10"/>
          <w:lang w:val="en-AU" w:eastAsia="de-AT"/>
        </w:rPr>
      </w:pPr>
    </w:p>
    <w:tbl>
      <w:tblPr>
        <w:tblStyle w:val="Svijetlareetkatablice"/>
        <w:tblW w:w="0" w:type="auto"/>
        <w:tblLook w:val="04A0" w:firstRow="1" w:lastRow="0" w:firstColumn="1" w:lastColumn="0" w:noHBand="0" w:noVBand="1"/>
      </w:tblPr>
      <w:tblGrid>
        <w:gridCol w:w="2193"/>
        <w:gridCol w:w="3711"/>
        <w:gridCol w:w="3724"/>
      </w:tblGrid>
      <w:tr w:rsidR="009B11B5" w:rsidRPr="009B11B5" w14:paraId="1AEC7E5C" w14:textId="77777777" w:rsidTr="00910D95">
        <w:tc>
          <w:tcPr>
            <w:tcW w:w="0" w:type="auto"/>
            <w:shd w:val="clear" w:color="auto" w:fill="9ACA3C"/>
            <w:hideMark/>
          </w:tcPr>
          <w:p w14:paraId="442D27CD" w14:textId="77777777" w:rsidR="009B11B5" w:rsidRPr="00910D95" w:rsidRDefault="009B11B5" w:rsidP="009B11B5">
            <w:pPr>
              <w:spacing w:before="0" w:line="240" w:lineRule="auto"/>
              <w:ind w:left="0" w:right="0"/>
              <w:jc w:val="center"/>
              <w:rPr>
                <w:rFonts w:asciiTheme="minorHAnsi" w:hAnsiTheme="minorHAnsi"/>
                <w:b/>
                <w:bCs/>
                <w:color w:val="FFFFFF" w:themeColor="background1"/>
                <w:lang w:val="en-AU" w:eastAsia="hr-HR"/>
              </w:rPr>
            </w:pPr>
            <w:r w:rsidRPr="00910D95">
              <w:rPr>
                <w:rFonts w:asciiTheme="minorHAnsi" w:hAnsiTheme="minorHAnsi"/>
                <w:b/>
                <w:bCs/>
                <w:color w:val="FFFFFF" w:themeColor="background1"/>
                <w:lang w:val="en-AU" w:eastAsia="hr-HR"/>
              </w:rPr>
              <w:t>Category</w:t>
            </w:r>
          </w:p>
        </w:tc>
        <w:tc>
          <w:tcPr>
            <w:tcW w:w="0" w:type="auto"/>
            <w:shd w:val="clear" w:color="auto" w:fill="9ACA3C"/>
            <w:hideMark/>
          </w:tcPr>
          <w:p w14:paraId="135CBD8A" w14:textId="09561961" w:rsidR="009B11B5" w:rsidRPr="00910D95" w:rsidRDefault="009B11B5" w:rsidP="009B11B5">
            <w:pPr>
              <w:spacing w:before="0" w:line="240" w:lineRule="auto"/>
              <w:ind w:left="0" w:right="0"/>
              <w:jc w:val="center"/>
              <w:rPr>
                <w:rFonts w:asciiTheme="minorHAnsi" w:hAnsiTheme="minorHAnsi"/>
                <w:b/>
                <w:bCs/>
                <w:color w:val="FFFFFF" w:themeColor="background1"/>
                <w:lang w:val="en-AU" w:eastAsia="hr-HR"/>
              </w:rPr>
            </w:pPr>
            <w:r w:rsidRPr="00910D95">
              <w:rPr>
                <w:rFonts w:asciiTheme="minorHAnsi" w:hAnsiTheme="minorHAnsi"/>
                <w:b/>
                <w:bCs/>
                <w:color w:val="FFFFFF" w:themeColor="background1"/>
                <w:lang w:val="en-AU" w:eastAsia="hr-HR"/>
              </w:rPr>
              <w:t xml:space="preserve">Key </w:t>
            </w:r>
            <w:r w:rsidR="00910D95" w:rsidRPr="00910D95">
              <w:rPr>
                <w:rFonts w:asciiTheme="minorHAnsi" w:hAnsiTheme="minorHAnsi"/>
                <w:b/>
                <w:bCs/>
                <w:color w:val="FFFFFF" w:themeColor="background1"/>
                <w:lang w:val="en-AU" w:eastAsia="hr-HR"/>
              </w:rPr>
              <w:t>s</w:t>
            </w:r>
            <w:r w:rsidRPr="00910D95">
              <w:rPr>
                <w:rFonts w:asciiTheme="minorHAnsi" w:hAnsiTheme="minorHAnsi"/>
                <w:b/>
                <w:bCs/>
                <w:color w:val="FFFFFF" w:themeColor="background1"/>
                <w:lang w:val="en-AU" w:eastAsia="hr-HR"/>
              </w:rPr>
              <w:t>takeholders</w:t>
            </w:r>
          </w:p>
        </w:tc>
        <w:tc>
          <w:tcPr>
            <w:tcW w:w="0" w:type="auto"/>
            <w:shd w:val="clear" w:color="auto" w:fill="9ACA3C"/>
            <w:hideMark/>
          </w:tcPr>
          <w:p w14:paraId="67E01758" w14:textId="77777777" w:rsidR="009B11B5" w:rsidRPr="00910D95" w:rsidRDefault="009B11B5" w:rsidP="009B11B5">
            <w:pPr>
              <w:spacing w:before="0" w:line="240" w:lineRule="auto"/>
              <w:ind w:left="0" w:right="0"/>
              <w:jc w:val="center"/>
              <w:rPr>
                <w:rFonts w:asciiTheme="minorHAnsi" w:hAnsiTheme="minorHAnsi"/>
                <w:b/>
                <w:bCs/>
                <w:color w:val="FFFFFF" w:themeColor="background1"/>
                <w:lang w:val="en-AU" w:eastAsia="hr-HR"/>
              </w:rPr>
            </w:pPr>
            <w:r w:rsidRPr="00910D95">
              <w:rPr>
                <w:rFonts w:asciiTheme="minorHAnsi" w:hAnsiTheme="minorHAnsi"/>
                <w:b/>
                <w:bCs/>
                <w:color w:val="FFFFFF" w:themeColor="background1"/>
                <w:lang w:val="en-AU" w:eastAsia="hr-HR"/>
              </w:rPr>
              <w:t>Contributions</w:t>
            </w:r>
          </w:p>
        </w:tc>
      </w:tr>
      <w:tr w:rsidR="009B11B5" w:rsidRPr="009B11B5" w14:paraId="75868543" w14:textId="77777777" w:rsidTr="002E1301">
        <w:tc>
          <w:tcPr>
            <w:tcW w:w="0" w:type="auto"/>
            <w:shd w:val="clear" w:color="auto" w:fill="F2F2F2" w:themeFill="background1" w:themeFillShade="F2"/>
            <w:hideMark/>
          </w:tcPr>
          <w:p w14:paraId="7DB85EC4" w14:textId="77777777" w:rsidR="009B11B5" w:rsidRPr="009B11B5" w:rsidRDefault="009B11B5" w:rsidP="009B11B5">
            <w:pPr>
              <w:spacing w:before="0" w:line="240" w:lineRule="auto"/>
              <w:ind w:left="0" w:right="0"/>
              <w:jc w:val="left"/>
              <w:rPr>
                <w:rFonts w:asciiTheme="minorHAnsi" w:hAnsiTheme="minorHAnsi"/>
                <w:lang w:val="en-AU" w:eastAsia="hr-HR"/>
              </w:rPr>
            </w:pPr>
            <w:r w:rsidRPr="009B11B5">
              <w:rPr>
                <w:rFonts w:asciiTheme="minorHAnsi" w:hAnsiTheme="minorHAnsi"/>
                <w:lang w:val="en-AU" w:eastAsia="hr-HR"/>
              </w:rPr>
              <w:t>Renewable Energy Developers</w:t>
            </w:r>
          </w:p>
        </w:tc>
        <w:tc>
          <w:tcPr>
            <w:tcW w:w="0" w:type="auto"/>
            <w:shd w:val="clear" w:color="auto" w:fill="F2F2F2" w:themeFill="background1" w:themeFillShade="F2"/>
            <w:hideMark/>
          </w:tcPr>
          <w:p w14:paraId="2518931F" w14:textId="3E32D2DF" w:rsidR="009B11B5" w:rsidRPr="009B11B5" w:rsidRDefault="009B11B5" w:rsidP="009B11B5">
            <w:pPr>
              <w:spacing w:before="0" w:line="240" w:lineRule="auto"/>
              <w:ind w:left="0" w:right="0"/>
              <w:jc w:val="left"/>
              <w:rPr>
                <w:rFonts w:asciiTheme="minorHAnsi" w:hAnsiTheme="minorHAnsi"/>
                <w:lang w:val="en-AU" w:eastAsia="hr-HR"/>
              </w:rPr>
            </w:pPr>
            <w:r w:rsidRPr="009B11B5">
              <w:rPr>
                <w:rFonts w:asciiTheme="minorHAnsi" w:hAnsiTheme="minorHAnsi"/>
                <w:lang w:val="en-AU" w:eastAsia="hr-HR"/>
              </w:rPr>
              <w:t>Encro, Končar Energy, E.ON Croatia, Professio Energy</w:t>
            </w:r>
            <w:r w:rsidR="00BC4A44">
              <w:rPr>
                <w:rFonts w:asciiTheme="minorHAnsi" w:hAnsiTheme="minorHAnsi"/>
                <w:lang w:val="en-AU" w:eastAsia="hr-HR"/>
              </w:rPr>
              <w:t>, Altpro</w:t>
            </w:r>
          </w:p>
        </w:tc>
        <w:tc>
          <w:tcPr>
            <w:tcW w:w="0" w:type="auto"/>
            <w:shd w:val="clear" w:color="auto" w:fill="F2F2F2" w:themeFill="background1" w:themeFillShade="F2"/>
            <w:hideMark/>
          </w:tcPr>
          <w:p w14:paraId="3AD0C0F0" w14:textId="65DDF960" w:rsidR="009B11B5" w:rsidRPr="009B11B5" w:rsidRDefault="009B11B5" w:rsidP="009B11B5">
            <w:pPr>
              <w:spacing w:before="0" w:line="240" w:lineRule="auto"/>
              <w:ind w:left="0" w:right="0"/>
              <w:jc w:val="left"/>
              <w:rPr>
                <w:rFonts w:asciiTheme="minorHAnsi" w:hAnsiTheme="minorHAnsi"/>
                <w:lang w:val="en-AU" w:eastAsia="hr-HR"/>
              </w:rPr>
            </w:pPr>
            <w:r w:rsidRPr="009B11B5">
              <w:rPr>
                <w:rFonts w:asciiTheme="minorHAnsi" w:hAnsiTheme="minorHAnsi"/>
                <w:lang w:val="en-AU" w:eastAsia="hr-HR"/>
              </w:rPr>
              <w:t xml:space="preserve">Invest in solar + electrolyzer </w:t>
            </w:r>
            <w:r w:rsidR="00BC4A44">
              <w:rPr>
                <w:rFonts w:asciiTheme="minorHAnsi" w:hAnsiTheme="minorHAnsi"/>
                <w:lang w:val="en-AU" w:eastAsia="hr-HR"/>
              </w:rPr>
              <w:t>+ fuel cells projects</w:t>
            </w:r>
            <w:r w:rsidRPr="009B11B5">
              <w:rPr>
                <w:rFonts w:asciiTheme="minorHAnsi" w:hAnsiTheme="minorHAnsi"/>
                <w:lang w:val="en-AU" w:eastAsia="hr-HR"/>
              </w:rPr>
              <w:t>; pilot hydrogen valleys.</w:t>
            </w:r>
          </w:p>
        </w:tc>
      </w:tr>
      <w:tr w:rsidR="009B11B5" w:rsidRPr="009B11B5" w14:paraId="618CDB5F" w14:textId="77777777" w:rsidTr="002E1301">
        <w:tc>
          <w:tcPr>
            <w:tcW w:w="0" w:type="auto"/>
            <w:shd w:val="clear" w:color="auto" w:fill="F2F2F2" w:themeFill="background1" w:themeFillShade="F2"/>
            <w:hideMark/>
          </w:tcPr>
          <w:p w14:paraId="44B33F85" w14:textId="77777777" w:rsidR="009B11B5" w:rsidRPr="009B11B5" w:rsidRDefault="009B11B5" w:rsidP="009B11B5">
            <w:pPr>
              <w:spacing w:before="0" w:line="240" w:lineRule="auto"/>
              <w:ind w:left="0" w:right="0"/>
              <w:jc w:val="left"/>
              <w:rPr>
                <w:rFonts w:asciiTheme="minorHAnsi" w:hAnsiTheme="minorHAnsi"/>
                <w:lang w:val="en-AU" w:eastAsia="hr-HR"/>
              </w:rPr>
            </w:pPr>
            <w:r w:rsidRPr="009B11B5">
              <w:rPr>
                <w:rFonts w:asciiTheme="minorHAnsi" w:hAnsiTheme="minorHAnsi"/>
                <w:lang w:val="en-AU" w:eastAsia="hr-HR"/>
              </w:rPr>
              <w:t>Industrial Off-Takers</w:t>
            </w:r>
          </w:p>
        </w:tc>
        <w:tc>
          <w:tcPr>
            <w:tcW w:w="0" w:type="auto"/>
            <w:shd w:val="clear" w:color="auto" w:fill="F2F2F2" w:themeFill="background1" w:themeFillShade="F2"/>
            <w:hideMark/>
          </w:tcPr>
          <w:p w14:paraId="2B98A59D" w14:textId="77777777" w:rsidR="009B11B5" w:rsidRPr="009B11B5" w:rsidRDefault="009B11B5" w:rsidP="009B11B5">
            <w:pPr>
              <w:spacing w:before="0" w:line="240" w:lineRule="auto"/>
              <w:ind w:left="0" w:right="0"/>
              <w:jc w:val="left"/>
              <w:rPr>
                <w:rFonts w:asciiTheme="minorHAnsi" w:hAnsiTheme="minorHAnsi"/>
                <w:lang w:val="en-AU" w:eastAsia="hr-HR"/>
              </w:rPr>
            </w:pPr>
            <w:r w:rsidRPr="009B11B5">
              <w:rPr>
                <w:rFonts w:asciiTheme="minorHAnsi" w:hAnsiTheme="minorHAnsi"/>
                <w:lang w:val="en-AU" w:eastAsia="hr-HR"/>
              </w:rPr>
              <w:t>Petrokemija Kutina, Đuro Đaković Group, cement and steel industries</w:t>
            </w:r>
          </w:p>
        </w:tc>
        <w:tc>
          <w:tcPr>
            <w:tcW w:w="0" w:type="auto"/>
            <w:shd w:val="clear" w:color="auto" w:fill="F2F2F2" w:themeFill="background1" w:themeFillShade="F2"/>
            <w:hideMark/>
          </w:tcPr>
          <w:p w14:paraId="1A1638C7" w14:textId="77777777" w:rsidR="009B11B5" w:rsidRPr="009B11B5" w:rsidRDefault="009B11B5" w:rsidP="009B11B5">
            <w:pPr>
              <w:spacing w:before="0" w:line="240" w:lineRule="auto"/>
              <w:ind w:left="0" w:right="0"/>
              <w:jc w:val="left"/>
              <w:rPr>
                <w:rFonts w:asciiTheme="minorHAnsi" w:hAnsiTheme="minorHAnsi"/>
                <w:lang w:val="en-AU" w:eastAsia="hr-HR"/>
              </w:rPr>
            </w:pPr>
            <w:r w:rsidRPr="009B11B5">
              <w:rPr>
                <w:rFonts w:asciiTheme="minorHAnsi" w:hAnsiTheme="minorHAnsi"/>
                <w:lang w:val="en-AU" w:eastAsia="hr-HR"/>
              </w:rPr>
              <w:t>Potential large-scale hydrogen users; decarbonisation of process heat.</w:t>
            </w:r>
          </w:p>
        </w:tc>
      </w:tr>
      <w:tr w:rsidR="009B11B5" w:rsidRPr="009B11B5" w14:paraId="309793AB" w14:textId="77777777" w:rsidTr="002E1301">
        <w:tc>
          <w:tcPr>
            <w:tcW w:w="0" w:type="auto"/>
            <w:shd w:val="clear" w:color="auto" w:fill="F2F2F2" w:themeFill="background1" w:themeFillShade="F2"/>
            <w:hideMark/>
          </w:tcPr>
          <w:p w14:paraId="73C8A460" w14:textId="77777777" w:rsidR="009B11B5" w:rsidRPr="009B11B5" w:rsidRDefault="009B11B5" w:rsidP="009B11B5">
            <w:pPr>
              <w:spacing w:before="0" w:line="240" w:lineRule="auto"/>
              <w:ind w:left="0" w:right="0"/>
              <w:jc w:val="left"/>
              <w:rPr>
                <w:rFonts w:asciiTheme="minorHAnsi" w:hAnsiTheme="minorHAnsi"/>
                <w:lang w:val="en-AU" w:eastAsia="hr-HR"/>
              </w:rPr>
            </w:pPr>
            <w:r w:rsidRPr="009B11B5">
              <w:rPr>
                <w:rFonts w:asciiTheme="minorHAnsi" w:hAnsiTheme="minorHAnsi"/>
                <w:lang w:val="en-AU" w:eastAsia="hr-HR"/>
              </w:rPr>
              <w:t>Technology and Equipment Suppliers</w:t>
            </w:r>
          </w:p>
        </w:tc>
        <w:tc>
          <w:tcPr>
            <w:tcW w:w="0" w:type="auto"/>
            <w:shd w:val="clear" w:color="auto" w:fill="F2F2F2" w:themeFill="background1" w:themeFillShade="F2"/>
            <w:hideMark/>
          </w:tcPr>
          <w:p w14:paraId="7356E10C" w14:textId="77777777" w:rsidR="009B11B5" w:rsidRPr="009B11B5" w:rsidRDefault="009B11B5" w:rsidP="009B11B5">
            <w:pPr>
              <w:spacing w:before="0" w:line="240" w:lineRule="auto"/>
              <w:ind w:left="0" w:right="0"/>
              <w:jc w:val="left"/>
              <w:rPr>
                <w:rFonts w:asciiTheme="minorHAnsi" w:hAnsiTheme="minorHAnsi"/>
                <w:lang w:val="en-AU" w:eastAsia="hr-HR"/>
              </w:rPr>
            </w:pPr>
            <w:r w:rsidRPr="009B11B5">
              <w:rPr>
                <w:rFonts w:asciiTheme="minorHAnsi" w:hAnsiTheme="minorHAnsi"/>
                <w:lang w:val="en-AU" w:eastAsia="hr-HR"/>
              </w:rPr>
              <w:t>Siemens Energy Croatia, Končar Group, Rimac Technology</w:t>
            </w:r>
          </w:p>
        </w:tc>
        <w:tc>
          <w:tcPr>
            <w:tcW w:w="0" w:type="auto"/>
            <w:shd w:val="clear" w:color="auto" w:fill="F2F2F2" w:themeFill="background1" w:themeFillShade="F2"/>
            <w:hideMark/>
          </w:tcPr>
          <w:p w14:paraId="67047208" w14:textId="77777777" w:rsidR="009B11B5" w:rsidRPr="009B11B5" w:rsidRDefault="009B11B5" w:rsidP="009B11B5">
            <w:pPr>
              <w:spacing w:before="0" w:line="240" w:lineRule="auto"/>
              <w:ind w:left="0" w:right="0"/>
              <w:jc w:val="left"/>
              <w:rPr>
                <w:rFonts w:asciiTheme="minorHAnsi" w:hAnsiTheme="minorHAnsi"/>
                <w:lang w:val="en-AU" w:eastAsia="hr-HR"/>
              </w:rPr>
            </w:pPr>
            <w:r w:rsidRPr="009B11B5">
              <w:rPr>
                <w:rFonts w:asciiTheme="minorHAnsi" w:hAnsiTheme="minorHAnsi"/>
                <w:lang w:val="en-AU" w:eastAsia="hr-HR"/>
              </w:rPr>
              <w:t>Provide electrolysis, storage, and mobility solutions.</w:t>
            </w:r>
          </w:p>
        </w:tc>
      </w:tr>
      <w:tr w:rsidR="009B11B5" w:rsidRPr="009B11B5" w14:paraId="5AA7D610" w14:textId="77777777" w:rsidTr="002E1301">
        <w:tc>
          <w:tcPr>
            <w:tcW w:w="0" w:type="auto"/>
            <w:shd w:val="clear" w:color="auto" w:fill="F2F2F2" w:themeFill="background1" w:themeFillShade="F2"/>
            <w:hideMark/>
          </w:tcPr>
          <w:p w14:paraId="4208DD24" w14:textId="77777777" w:rsidR="009B11B5" w:rsidRPr="009B11B5" w:rsidRDefault="009B11B5" w:rsidP="009B11B5">
            <w:pPr>
              <w:spacing w:before="0" w:line="240" w:lineRule="auto"/>
              <w:ind w:left="0" w:right="0"/>
              <w:jc w:val="left"/>
              <w:rPr>
                <w:rFonts w:asciiTheme="minorHAnsi" w:hAnsiTheme="minorHAnsi"/>
                <w:lang w:val="en-AU" w:eastAsia="hr-HR"/>
              </w:rPr>
            </w:pPr>
            <w:r w:rsidRPr="009B11B5">
              <w:rPr>
                <w:rFonts w:asciiTheme="minorHAnsi" w:hAnsiTheme="minorHAnsi"/>
                <w:lang w:val="en-AU" w:eastAsia="hr-HR"/>
              </w:rPr>
              <w:t>Industry Associations</w:t>
            </w:r>
          </w:p>
        </w:tc>
        <w:tc>
          <w:tcPr>
            <w:tcW w:w="0" w:type="auto"/>
            <w:shd w:val="clear" w:color="auto" w:fill="F2F2F2" w:themeFill="background1" w:themeFillShade="F2"/>
            <w:hideMark/>
          </w:tcPr>
          <w:p w14:paraId="691875A2" w14:textId="77777777" w:rsidR="009B11B5" w:rsidRPr="009B11B5" w:rsidRDefault="009B11B5" w:rsidP="009B11B5">
            <w:pPr>
              <w:spacing w:before="0" w:line="240" w:lineRule="auto"/>
              <w:ind w:left="0" w:right="0"/>
              <w:jc w:val="left"/>
              <w:rPr>
                <w:rFonts w:asciiTheme="minorHAnsi" w:hAnsiTheme="minorHAnsi"/>
                <w:lang w:val="en-AU" w:eastAsia="hr-HR"/>
              </w:rPr>
            </w:pPr>
            <w:r w:rsidRPr="009B11B5">
              <w:rPr>
                <w:rFonts w:asciiTheme="minorHAnsi" w:hAnsiTheme="minorHAnsi"/>
                <w:lang w:val="en-AU" w:eastAsia="hr-HR"/>
              </w:rPr>
              <w:t>Croatian Chamber of Economy (HGK), Croatian Employers’ Association (HUP)</w:t>
            </w:r>
          </w:p>
        </w:tc>
        <w:tc>
          <w:tcPr>
            <w:tcW w:w="0" w:type="auto"/>
            <w:shd w:val="clear" w:color="auto" w:fill="F2F2F2" w:themeFill="background1" w:themeFillShade="F2"/>
            <w:hideMark/>
          </w:tcPr>
          <w:p w14:paraId="6A65B399" w14:textId="77777777" w:rsidR="009B11B5" w:rsidRPr="009B11B5" w:rsidRDefault="009B11B5" w:rsidP="009B11B5">
            <w:pPr>
              <w:spacing w:before="0" w:line="240" w:lineRule="auto"/>
              <w:ind w:left="0" w:right="0"/>
              <w:jc w:val="left"/>
              <w:rPr>
                <w:rFonts w:asciiTheme="minorHAnsi" w:hAnsiTheme="minorHAnsi"/>
                <w:lang w:val="en-AU" w:eastAsia="hr-HR"/>
              </w:rPr>
            </w:pPr>
            <w:r w:rsidRPr="009B11B5">
              <w:rPr>
                <w:rFonts w:asciiTheme="minorHAnsi" w:hAnsiTheme="minorHAnsi"/>
                <w:lang w:val="en-AU" w:eastAsia="hr-HR"/>
              </w:rPr>
              <w:t>Facilitate industry coordination and represent private-sector interests.</w:t>
            </w:r>
          </w:p>
        </w:tc>
      </w:tr>
    </w:tbl>
    <w:p w14:paraId="6E060096" w14:textId="673A0D5A" w:rsidR="009B11B5" w:rsidRPr="002E1301" w:rsidRDefault="002E1301" w:rsidP="002E1301">
      <w:pPr>
        <w:pStyle w:val="Opisslike"/>
        <w:jc w:val="center"/>
        <w:rPr>
          <w:rFonts w:asciiTheme="minorHAnsi" w:hAnsiTheme="minorHAnsi"/>
          <w:noProof/>
          <w:color w:val="90ABB1" w:themeColor="accent1"/>
          <w:spacing w:val="-10"/>
          <w:lang w:val="en-AU" w:eastAsia="de-AT"/>
        </w:rPr>
      </w:pPr>
      <w:bookmarkStart w:id="13" w:name="_Toc219232426"/>
      <w:r w:rsidRPr="002E1301">
        <w:rPr>
          <w:rFonts w:asciiTheme="minorHAnsi" w:hAnsiTheme="minorHAnsi"/>
        </w:rPr>
        <w:t xml:space="preserve">Table </w:t>
      </w:r>
      <w:r w:rsidRPr="002E1301">
        <w:rPr>
          <w:rFonts w:asciiTheme="minorHAnsi" w:hAnsiTheme="minorHAnsi"/>
        </w:rPr>
        <w:fldChar w:fldCharType="begin"/>
      </w:r>
      <w:r w:rsidRPr="002E1301">
        <w:rPr>
          <w:rFonts w:asciiTheme="minorHAnsi" w:hAnsiTheme="minorHAnsi"/>
        </w:rPr>
        <w:instrText xml:space="preserve"> SEQ Table \* ARABIC </w:instrText>
      </w:r>
      <w:r w:rsidRPr="002E1301">
        <w:rPr>
          <w:rFonts w:asciiTheme="minorHAnsi" w:hAnsiTheme="minorHAnsi"/>
        </w:rPr>
        <w:fldChar w:fldCharType="separate"/>
      </w:r>
      <w:r w:rsidR="00655C39">
        <w:rPr>
          <w:rFonts w:asciiTheme="minorHAnsi" w:hAnsiTheme="minorHAnsi"/>
          <w:noProof/>
        </w:rPr>
        <w:t>3</w:t>
      </w:r>
      <w:r w:rsidRPr="002E1301">
        <w:rPr>
          <w:rFonts w:asciiTheme="minorHAnsi" w:hAnsiTheme="minorHAnsi"/>
        </w:rPr>
        <w:fldChar w:fldCharType="end"/>
      </w:r>
      <w:r w:rsidRPr="002E1301">
        <w:rPr>
          <w:rFonts w:asciiTheme="minorHAnsi" w:hAnsiTheme="minorHAnsi"/>
        </w:rPr>
        <w:t xml:space="preserve">: </w:t>
      </w:r>
      <w:r w:rsidR="009B11B5" w:rsidRPr="002E1301">
        <w:rPr>
          <w:rFonts w:asciiTheme="minorHAnsi" w:hAnsiTheme="minorHAnsi"/>
        </w:rPr>
        <w:t>Private Sector Stakeholders</w:t>
      </w:r>
      <w:bookmarkEnd w:id="13"/>
    </w:p>
    <w:p w14:paraId="685EE97B" w14:textId="504F4324" w:rsidR="002E1301" w:rsidRPr="002E1301" w:rsidRDefault="002E1301">
      <w:pPr>
        <w:spacing w:before="0" w:line="240" w:lineRule="auto"/>
        <w:ind w:left="0" w:right="0"/>
        <w:jc w:val="left"/>
        <w:rPr>
          <w:rFonts w:asciiTheme="minorHAnsi" w:hAnsiTheme="minorHAnsi"/>
          <w:b/>
          <w:bCs/>
          <w:noProof/>
          <w:color w:val="90ABB1" w:themeColor="accent1"/>
          <w:spacing w:val="-10"/>
          <w:lang w:val="en-AU" w:eastAsia="de-AT"/>
        </w:rPr>
      </w:pPr>
      <w:r w:rsidRPr="002E1301">
        <w:rPr>
          <w:rFonts w:asciiTheme="minorHAnsi" w:hAnsiTheme="minorHAnsi"/>
        </w:rPr>
        <w:t>Below is an overview of the regional and financial stakeholders.</w:t>
      </w:r>
    </w:p>
    <w:p w14:paraId="07FA3D29" w14:textId="77777777" w:rsidR="009B11B5" w:rsidRDefault="009B11B5">
      <w:pPr>
        <w:spacing w:before="0" w:line="240" w:lineRule="auto"/>
        <w:ind w:left="0" w:right="0"/>
        <w:jc w:val="left"/>
        <w:rPr>
          <w:rFonts w:asciiTheme="minorHAnsi" w:hAnsiTheme="minorHAnsi"/>
          <w:b/>
          <w:bCs/>
          <w:noProof/>
          <w:color w:val="90ABB1" w:themeColor="accent1"/>
          <w:spacing w:val="-10"/>
          <w:lang w:val="en-AU" w:eastAsia="de-AT"/>
        </w:rPr>
      </w:pPr>
    </w:p>
    <w:tbl>
      <w:tblPr>
        <w:tblStyle w:val="Svijetlareetkatablice"/>
        <w:tblW w:w="0" w:type="auto"/>
        <w:tblLook w:val="04A0" w:firstRow="1" w:lastRow="0" w:firstColumn="1" w:lastColumn="0" w:noHBand="0" w:noVBand="1"/>
      </w:tblPr>
      <w:tblGrid>
        <w:gridCol w:w="1880"/>
        <w:gridCol w:w="3885"/>
        <w:gridCol w:w="3863"/>
      </w:tblGrid>
      <w:tr w:rsidR="009B11B5" w:rsidRPr="009B11B5" w14:paraId="5BC7274E" w14:textId="77777777" w:rsidTr="002E1301">
        <w:tc>
          <w:tcPr>
            <w:tcW w:w="0" w:type="auto"/>
            <w:shd w:val="clear" w:color="auto" w:fill="9ACA3C"/>
            <w:hideMark/>
          </w:tcPr>
          <w:p w14:paraId="459491B5" w14:textId="364B0136" w:rsidR="009B11B5" w:rsidRPr="002E1301" w:rsidRDefault="009B11B5" w:rsidP="009B11B5">
            <w:pPr>
              <w:spacing w:before="0" w:line="240" w:lineRule="auto"/>
              <w:ind w:left="0" w:right="0"/>
              <w:jc w:val="center"/>
              <w:rPr>
                <w:rFonts w:asciiTheme="minorHAnsi" w:hAnsiTheme="minorHAnsi"/>
                <w:b/>
                <w:bCs/>
                <w:color w:val="FFFFFF" w:themeColor="background1"/>
                <w:lang w:val="en-AU" w:eastAsia="hr-HR"/>
              </w:rPr>
            </w:pPr>
            <w:r w:rsidRPr="002E1301">
              <w:rPr>
                <w:rFonts w:asciiTheme="minorHAnsi" w:hAnsiTheme="minorHAnsi"/>
                <w:b/>
                <w:bCs/>
                <w:color w:val="FFFFFF" w:themeColor="background1"/>
                <w:lang w:val="en-AU" w:eastAsia="hr-HR"/>
              </w:rPr>
              <w:t xml:space="preserve">Actor </w:t>
            </w:r>
            <w:r w:rsidR="002E1301" w:rsidRPr="002E1301">
              <w:rPr>
                <w:rFonts w:asciiTheme="minorHAnsi" w:hAnsiTheme="minorHAnsi"/>
                <w:b/>
                <w:bCs/>
                <w:color w:val="FFFFFF" w:themeColor="background1"/>
                <w:lang w:val="en-AU" w:eastAsia="hr-HR"/>
              </w:rPr>
              <w:t>t</w:t>
            </w:r>
            <w:r w:rsidRPr="002E1301">
              <w:rPr>
                <w:rFonts w:asciiTheme="minorHAnsi" w:hAnsiTheme="minorHAnsi"/>
                <w:b/>
                <w:bCs/>
                <w:color w:val="FFFFFF" w:themeColor="background1"/>
                <w:lang w:val="en-AU" w:eastAsia="hr-HR"/>
              </w:rPr>
              <w:t>ype</w:t>
            </w:r>
          </w:p>
        </w:tc>
        <w:tc>
          <w:tcPr>
            <w:tcW w:w="0" w:type="auto"/>
            <w:shd w:val="clear" w:color="auto" w:fill="9ACA3C"/>
            <w:hideMark/>
          </w:tcPr>
          <w:p w14:paraId="6FA6A8B0" w14:textId="4AB98BDA" w:rsidR="009B11B5" w:rsidRPr="002E1301" w:rsidRDefault="009B11B5" w:rsidP="009B11B5">
            <w:pPr>
              <w:spacing w:before="0" w:line="240" w:lineRule="auto"/>
              <w:ind w:left="0" w:right="0"/>
              <w:jc w:val="center"/>
              <w:rPr>
                <w:rFonts w:asciiTheme="minorHAnsi" w:hAnsiTheme="minorHAnsi"/>
                <w:b/>
                <w:bCs/>
                <w:color w:val="FFFFFF" w:themeColor="background1"/>
                <w:lang w:val="en-AU" w:eastAsia="hr-HR"/>
              </w:rPr>
            </w:pPr>
            <w:r w:rsidRPr="002E1301">
              <w:rPr>
                <w:rFonts w:asciiTheme="minorHAnsi" w:hAnsiTheme="minorHAnsi"/>
                <w:b/>
                <w:bCs/>
                <w:color w:val="FFFFFF" w:themeColor="background1"/>
                <w:lang w:val="en-AU" w:eastAsia="hr-HR"/>
              </w:rPr>
              <w:t xml:space="preserve">Key </w:t>
            </w:r>
            <w:r w:rsidR="002E1301" w:rsidRPr="002E1301">
              <w:rPr>
                <w:rFonts w:asciiTheme="minorHAnsi" w:hAnsiTheme="minorHAnsi"/>
                <w:b/>
                <w:bCs/>
                <w:color w:val="FFFFFF" w:themeColor="background1"/>
                <w:lang w:val="en-AU" w:eastAsia="hr-HR"/>
              </w:rPr>
              <w:t>s</w:t>
            </w:r>
            <w:r w:rsidRPr="002E1301">
              <w:rPr>
                <w:rFonts w:asciiTheme="minorHAnsi" w:hAnsiTheme="minorHAnsi"/>
                <w:b/>
                <w:bCs/>
                <w:color w:val="FFFFFF" w:themeColor="background1"/>
                <w:lang w:val="en-AU" w:eastAsia="hr-HR"/>
              </w:rPr>
              <w:t>takeholders</w:t>
            </w:r>
          </w:p>
        </w:tc>
        <w:tc>
          <w:tcPr>
            <w:tcW w:w="0" w:type="auto"/>
            <w:shd w:val="clear" w:color="auto" w:fill="9ACA3C"/>
            <w:hideMark/>
          </w:tcPr>
          <w:p w14:paraId="67A26344" w14:textId="77777777" w:rsidR="009B11B5" w:rsidRPr="002E1301" w:rsidRDefault="009B11B5" w:rsidP="009B11B5">
            <w:pPr>
              <w:spacing w:before="0" w:line="240" w:lineRule="auto"/>
              <w:ind w:left="0" w:right="0"/>
              <w:jc w:val="center"/>
              <w:rPr>
                <w:rFonts w:asciiTheme="minorHAnsi" w:hAnsiTheme="minorHAnsi"/>
                <w:b/>
                <w:bCs/>
                <w:color w:val="FFFFFF" w:themeColor="background1"/>
                <w:lang w:val="en-AU" w:eastAsia="hr-HR"/>
              </w:rPr>
            </w:pPr>
            <w:r w:rsidRPr="002E1301">
              <w:rPr>
                <w:rFonts w:asciiTheme="minorHAnsi" w:hAnsiTheme="minorHAnsi"/>
                <w:b/>
                <w:bCs/>
                <w:color w:val="FFFFFF" w:themeColor="background1"/>
                <w:lang w:val="en-AU" w:eastAsia="hr-HR"/>
              </w:rPr>
              <w:t>Role</w:t>
            </w:r>
          </w:p>
        </w:tc>
      </w:tr>
      <w:tr w:rsidR="009B11B5" w:rsidRPr="009B11B5" w14:paraId="2AF39728" w14:textId="77777777" w:rsidTr="002E1301">
        <w:tc>
          <w:tcPr>
            <w:tcW w:w="0" w:type="auto"/>
            <w:shd w:val="clear" w:color="auto" w:fill="F2F2F2" w:themeFill="background1" w:themeFillShade="F2"/>
            <w:hideMark/>
          </w:tcPr>
          <w:p w14:paraId="023BC1FE" w14:textId="77777777" w:rsidR="009B11B5" w:rsidRPr="009B11B5" w:rsidRDefault="009B11B5" w:rsidP="009B11B5">
            <w:pPr>
              <w:spacing w:before="0" w:line="240" w:lineRule="auto"/>
              <w:ind w:left="0" w:right="0"/>
              <w:jc w:val="left"/>
              <w:rPr>
                <w:rFonts w:asciiTheme="minorHAnsi" w:hAnsiTheme="minorHAnsi"/>
                <w:lang w:val="en-AU" w:eastAsia="hr-HR"/>
              </w:rPr>
            </w:pPr>
            <w:r w:rsidRPr="009B11B5">
              <w:rPr>
                <w:rFonts w:asciiTheme="minorHAnsi" w:hAnsiTheme="minorHAnsi"/>
                <w:lang w:val="en-AU" w:eastAsia="hr-HR"/>
              </w:rPr>
              <w:t>Regional and Local Authorities</w:t>
            </w:r>
          </w:p>
        </w:tc>
        <w:tc>
          <w:tcPr>
            <w:tcW w:w="0" w:type="auto"/>
            <w:shd w:val="clear" w:color="auto" w:fill="F2F2F2" w:themeFill="background1" w:themeFillShade="F2"/>
            <w:hideMark/>
          </w:tcPr>
          <w:p w14:paraId="498DDAE8" w14:textId="77777777" w:rsidR="009B11B5" w:rsidRPr="009B11B5" w:rsidRDefault="009B11B5" w:rsidP="009B11B5">
            <w:pPr>
              <w:spacing w:before="0" w:line="240" w:lineRule="auto"/>
              <w:ind w:left="0" w:right="0"/>
              <w:jc w:val="left"/>
              <w:rPr>
                <w:rFonts w:asciiTheme="minorHAnsi" w:hAnsiTheme="minorHAnsi"/>
                <w:lang w:val="en-AU" w:eastAsia="hr-HR"/>
              </w:rPr>
            </w:pPr>
            <w:r w:rsidRPr="009B11B5">
              <w:rPr>
                <w:rFonts w:asciiTheme="minorHAnsi" w:hAnsiTheme="minorHAnsi"/>
                <w:lang w:val="en-AU" w:eastAsia="hr-HR"/>
              </w:rPr>
              <w:t>County development agencies (e.g. Split-Dalmatia, Primorje-Gorski Kotar), City of Zagreb</w:t>
            </w:r>
          </w:p>
        </w:tc>
        <w:tc>
          <w:tcPr>
            <w:tcW w:w="0" w:type="auto"/>
            <w:shd w:val="clear" w:color="auto" w:fill="F2F2F2" w:themeFill="background1" w:themeFillShade="F2"/>
            <w:hideMark/>
          </w:tcPr>
          <w:p w14:paraId="6213C183" w14:textId="77777777" w:rsidR="009B11B5" w:rsidRPr="009B11B5" w:rsidRDefault="009B11B5" w:rsidP="009B11B5">
            <w:pPr>
              <w:spacing w:before="0" w:line="240" w:lineRule="auto"/>
              <w:ind w:left="0" w:right="0"/>
              <w:jc w:val="left"/>
              <w:rPr>
                <w:rFonts w:asciiTheme="minorHAnsi" w:hAnsiTheme="minorHAnsi"/>
                <w:lang w:val="en-AU" w:eastAsia="hr-HR"/>
              </w:rPr>
            </w:pPr>
            <w:r w:rsidRPr="009B11B5">
              <w:rPr>
                <w:rFonts w:asciiTheme="minorHAnsi" w:hAnsiTheme="minorHAnsi"/>
                <w:lang w:val="en-AU" w:eastAsia="hr-HR"/>
              </w:rPr>
              <w:t>Promote regional hydrogen valleys and integrate hydrogen into local energy plans.</w:t>
            </w:r>
          </w:p>
        </w:tc>
      </w:tr>
      <w:tr w:rsidR="009B11B5" w:rsidRPr="009B11B5" w14:paraId="5799B54E" w14:textId="77777777" w:rsidTr="002E1301">
        <w:tc>
          <w:tcPr>
            <w:tcW w:w="0" w:type="auto"/>
            <w:shd w:val="clear" w:color="auto" w:fill="F2F2F2" w:themeFill="background1" w:themeFillShade="F2"/>
            <w:hideMark/>
          </w:tcPr>
          <w:p w14:paraId="5DFAA7D4" w14:textId="77777777" w:rsidR="009B11B5" w:rsidRPr="009B11B5" w:rsidRDefault="009B11B5" w:rsidP="009B11B5">
            <w:pPr>
              <w:spacing w:before="0" w:line="240" w:lineRule="auto"/>
              <w:ind w:left="0" w:right="0"/>
              <w:jc w:val="left"/>
              <w:rPr>
                <w:rFonts w:asciiTheme="minorHAnsi" w:hAnsiTheme="minorHAnsi"/>
                <w:lang w:val="en-AU" w:eastAsia="hr-HR"/>
              </w:rPr>
            </w:pPr>
            <w:r w:rsidRPr="009B11B5">
              <w:rPr>
                <w:rFonts w:asciiTheme="minorHAnsi" w:hAnsiTheme="minorHAnsi"/>
                <w:lang w:val="en-AU" w:eastAsia="hr-HR"/>
              </w:rPr>
              <w:t>Financial Institutions</w:t>
            </w:r>
          </w:p>
        </w:tc>
        <w:tc>
          <w:tcPr>
            <w:tcW w:w="0" w:type="auto"/>
            <w:shd w:val="clear" w:color="auto" w:fill="F2F2F2" w:themeFill="background1" w:themeFillShade="F2"/>
            <w:hideMark/>
          </w:tcPr>
          <w:p w14:paraId="74056919" w14:textId="77777777" w:rsidR="009B11B5" w:rsidRPr="009B11B5" w:rsidRDefault="009B11B5" w:rsidP="009B11B5">
            <w:pPr>
              <w:spacing w:before="0" w:line="240" w:lineRule="auto"/>
              <w:ind w:left="0" w:right="0"/>
              <w:jc w:val="left"/>
              <w:rPr>
                <w:rFonts w:asciiTheme="minorHAnsi" w:hAnsiTheme="minorHAnsi"/>
                <w:lang w:val="en-AU" w:eastAsia="hr-HR"/>
              </w:rPr>
            </w:pPr>
            <w:r w:rsidRPr="009B11B5">
              <w:rPr>
                <w:rFonts w:asciiTheme="minorHAnsi" w:hAnsiTheme="minorHAnsi"/>
                <w:lang w:val="en-AU" w:eastAsia="hr-HR"/>
              </w:rPr>
              <w:t>Croatian Bank for Reconstruction and Development (HBOR), commercial banks, EIB</w:t>
            </w:r>
          </w:p>
        </w:tc>
        <w:tc>
          <w:tcPr>
            <w:tcW w:w="0" w:type="auto"/>
            <w:shd w:val="clear" w:color="auto" w:fill="F2F2F2" w:themeFill="background1" w:themeFillShade="F2"/>
            <w:hideMark/>
          </w:tcPr>
          <w:p w14:paraId="0E9DD24E" w14:textId="77777777" w:rsidR="009B11B5" w:rsidRPr="009B11B5" w:rsidRDefault="009B11B5" w:rsidP="009B11B5">
            <w:pPr>
              <w:spacing w:before="0" w:line="240" w:lineRule="auto"/>
              <w:ind w:left="0" w:right="0"/>
              <w:jc w:val="left"/>
              <w:rPr>
                <w:rFonts w:asciiTheme="minorHAnsi" w:hAnsiTheme="minorHAnsi"/>
                <w:lang w:val="en-AU" w:eastAsia="hr-HR"/>
              </w:rPr>
            </w:pPr>
            <w:r w:rsidRPr="009B11B5">
              <w:rPr>
                <w:rFonts w:asciiTheme="minorHAnsi" w:hAnsiTheme="minorHAnsi"/>
                <w:lang w:val="en-AU" w:eastAsia="hr-HR"/>
              </w:rPr>
              <w:t>Provide financing, guarantees, and risk-sharing mechanisms for hydrogen investments.</w:t>
            </w:r>
          </w:p>
        </w:tc>
      </w:tr>
      <w:tr w:rsidR="009B11B5" w:rsidRPr="009B11B5" w14:paraId="328E0669" w14:textId="77777777" w:rsidTr="002E1301">
        <w:tc>
          <w:tcPr>
            <w:tcW w:w="0" w:type="auto"/>
            <w:shd w:val="clear" w:color="auto" w:fill="F2F2F2" w:themeFill="background1" w:themeFillShade="F2"/>
            <w:hideMark/>
          </w:tcPr>
          <w:p w14:paraId="3ECD494D" w14:textId="77777777" w:rsidR="009B11B5" w:rsidRPr="009B11B5" w:rsidRDefault="009B11B5" w:rsidP="009B11B5">
            <w:pPr>
              <w:spacing w:before="0" w:line="240" w:lineRule="auto"/>
              <w:ind w:left="0" w:right="0"/>
              <w:jc w:val="left"/>
              <w:rPr>
                <w:rFonts w:asciiTheme="minorHAnsi" w:hAnsiTheme="minorHAnsi"/>
                <w:lang w:val="en-AU" w:eastAsia="hr-HR"/>
              </w:rPr>
            </w:pPr>
            <w:r w:rsidRPr="009B11B5">
              <w:rPr>
                <w:rFonts w:asciiTheme="minorHAnsi" w:hAnsiTheme="minorHAnsi"/>
                <w:lang w:val="en-AU" w:eastAsia="hr-HR"/>
              </w:rPr>
              <w:t>EU Programmes &amp; Platforms</w:t>
            </w:r>
          </w:p>
        </w:tc>
        <w:tc>
          <w:tcPr>
            <w:tcW w:w="0" w:type="auto"/>
            <w:shd w:val="clear" w:color="auto" w:fill="F2F2F2" w:themeFill="background1" w:themeFillShade="F2"/>
            <w:hideMark/>
          </w:tcPr>
          <w:p w14:paraId="6481F240" w14:textId="77777777" w:rsidR="009B11B5" w:rsidRPr="009B11B5" w:rsidRDefault="009B11B5" w:rsidP="009B11B5">
            <w:pPr>
              <w:spacing w:before="0" w:line="240" w:lineRule="auto"/>
              <w:ind w:left="0" w:right="0"/>
              <w:jc w:val="left"/>
              <w:rPr>
                <w:rFonts w:asciiTheme="minorHAnsi" w:hAnsiTheme="minorHAnsi"/>
                <w:lang w:val="en-AU" w:eastAsia="hr-HR"/>
              </w:rPr>
            </w:pPr>
            <w:r w:rsidRPr="009B11B5">
              <w:rPr>
                <w:rFonts w:asciiTheme="minorHAnsi" w:hAnsiTheme="minorHAnsi"/>
                <w:lang w:val="en-AU" w:eastAsia="hr-HR"/>
              </w:rPr>
              <w:t>INTERREG ADRION, CEF Energy, IPCEI Hydrogen, European Clean Hydrogen Alliance</w:t>
            </w:r>
          </w:p>
        </w:tc>
        <w:tc>
          <w:tcPr>
            <w:tcW w:w="0" w:type="auto"/>
            <w:shd w:val="clear" w:color="auto" w:fill="F2F2F2" w:themeFill="background1" w:themeFillShade="F2"/>
            <w:hideMark/>
          </w:tcPr>
          <w:p w14:paraId="683774F0" w14:textId="77777777" w:rsidR="009B11B5" w:rsidRPr="009B11B5" w:rsidRDefault="009B11B5" w:rsidP="009B11B5">
            <w:pPr>
              <w:spacing w:before="0" w:line="240" w:lineRule="auto"/>
              <w:ind w:left="0" w:right="0"/>
              <w:jc w:val="left"/>
              <w:rPr>
                <w:rFonts w:asciiTheme="minorHAnsi" w:hAnsiTheme="minorHAnsi"/>
                <w:lang w:val="en-AU" w:eastAsia="hr-HR"/>
              </w:rPr>
            </w:pPr>
            <w:r w:rsidRPr="009B11B5">
              <w:rPr>
                <w:rFonts w:asciiTheme="minorHAnsi" w:hAnsiTheme="minorHAnsi"/>
                <w:lang w:val="en-AU" w:eastAsia="hr-HR"/>
              </w:rPr>
              <w:t>Facilitate regional cooperation, funding, and standardization.</w:t>
            </w:r>
          </w:p>
        </w:tc>
      </w:tr>
      <w:tr w:rsidR="009B11B5" w:rsidRPr="009B11B5" w14:paraId="51F25805" w14:textId="77777777" w:rsidTr="002E1301">
        <w:tc>
          <w:tcPr>
            <w:tcW w:w="0" w:type="auto"/>
            <w:shd w:val="clear" w:color="auto" w:fill="F2F2F2" w:themeFill="background1" w:themeFillShade="F2"/>
            <w:hideMark/>
          </w:tcPr>
          <w:p w14:paraId="0D98C137" w14:textId="77777777" w:rsidR="009B11B5" w:rsidRPr="009B11B5" w:rsidRDefault="009B11B5" w:rsidP="009B11B5">
            <w:pPr>
              <w:spacing w:before="0" w:line="240" w:lineRule="auto"/>
              <w:ind w:left="0" w:right="0"/>
              <w:jc w:val="left"/>
              <w:rPr>
                <w:rFonts w:asciiTheme="minorHAnsi" w:hAnsiTheme="minorHAnsi"/>
                <w:lang w:val="en-AU" w:eastAsia="hr-HR"/>
              </w:rPr>
            </w:pPr>
            <w:r w:rsidRPr="009B11B5">
              <w:rPr>
                <w:rFonts w:asciiTheme="minorHAnsi" w:hAnsiTheme="minorHAnsi"/>
                <w:lang w:val="en-AU" w:eastAsia="hr-HR"/>
              </w:rPr>
              <w:t>Civil Society &amp; NGOs</w:t>
            </w:r>
          </w:p>
        </w:tc>
        <w:tc>
          <w:tcPr>
            <w:tcW w:w="0" w:type="auto"/>
            <w:shd w:val="clear" w:color="auto" w:fill="F2F2F2" w:themeFill="background1" w:themeFillShade="F2"/>
            <w:hideMark/>
          </w:tcPr>
          <w:p w14:paraId="38391101" w14:textId="77777777" w:rsidR="009B11B5" w:rsidRPr="009B11B5" w:rsidRDefault="009B11B5" w:rsidP="009B11B5">
            <w:pPr>
              <w:spacing w:before="0" w:line="240" w:lineRule="auto"/>
              <w:ind w:left="0" w:right="0"/>
              <w:jc w:val="left"/>
              <w:rPr>
                <w:rFonts w:asciiTheme="minorHAnsi" w:hAnsiTheme="minorHAnsi"/>
                <w:lang w:val="en-AU" w:eastAsia="hr-HR"/>
              </w:rPr>
            </w:pPr>
            <w:r w:rsidRPr="009B11B5">
              <w:rPr>
                <w:rFonts w:asciiTheme="minorHAnsi" w:hAnsiTheme="minorHAnsi"/>
                <w:lang w:val="en-AU" w:eastAsia="hr-HR"/>
              </w:rPr>
              <w:t>Green Action, Energy Transition Initiative Croatia</w:t>
            </w:r>
          </w:p>
        </w:tc>
        <w:tc>
          <w:tcPr>
            <w:tcW w:w="0" w:type="auto"/>
            <w:shd w:val="clear" w:color="auto" w:fill="F2F2F2" w:themeFill="background1" w:themeFillShade="F2"/>
            <w:hideMark/>
          </w:tcPr>
          <w:p w14:paraId="004E2BC8" w14:textId="77777777" w:rsidR="009B11B5" w:rsidRPr="009B11B5" w:rsidRDefault="009B11B5" w:rsidP="009B11B5">
            <w:pPr>
              <w:spacing w:before="0" w:line="240" w:lineRule="auto"/>
              <w:ind w:left="0" w:right="0"/>
              <w:jc w:val="left"/>
              <w:rPr>
                <w:rFonts w:asciiTheme="minorHAnsi" w:hAnsiTheme="minorHAnsi"/>
                <w:lang w:val="en-AU" w:eastAsia="hr-HR"/>
              </w:rPr>
            </w:pPr>
            <w:r w:rsidRPr="009B11B5">
              <w:rPr>
                <w:rFonts w:asciiTheme="minorHAnsi" w:hAnsiTheme="minorHAnsi"/>
                <w:lang w:val="en-AU" w:eastAsia="hr-HR"/>
              </w:rPr>
              <w:t>Promote awareness, social acceptance, and community participation.</w:t>
            </w:r>
          </w:p>
        </w:tc>
      </w:tr>
    </w:tbl>
    <w:p w14:paraId="3C5DAE96" w14:textId="23FB352B" w:rsidR="009B11B5" w:rsidRDefault="002E1301" w:rsidP="00B63AA4">
      <w:pPr>
        <w:pStyle w:val="Opisslike"/>
        <w:jc w:val="center"/>
        <w:rPr>
          <w:noProof/>
          <w:lang w:val="en-AU" w:eastAsia="de-AT"/>
        </w:rPr>
      </w:pPr>
      <w:bookmarkStart w:id="14" w:name="_Toc219232427"/>
      <w:r w:rsidRPr="002E1301">
        <w:rPr>
          <w:rFonts w:asciiTheme="minorHAnsi" w:hAnsiTheme="minorHAnsi"/>
        </w:rPr>
        <w:t xml:space="preserve">Table </w:t>
      </w:r>
      <w:r w:rsidRPr="002E1301">
        <w:rPr>
          <w:rFonts w:asciiTheme="minorHAnsi" w:hAnsiTheme="minorHAnsi"/>
          <w:i w:val="0"/>
          <w:iCs w:val="0"/>
        </w:rPr>
        <w:fldChar w:fldCharType="begin"/>
      </w:r>
      <w:r w:rsidRPr="002E1301">
        <w:rPr>
          <w:rFonts w:asciiTheme="minorHAnsi" w:hAnsiTheme="minorHAnsi"/>
        </w:rPr>
        <w:instrText xml:space="preserve"> SEQ Table \* ARABIC </w:instrText>
      </w:r>
      <w:r w:rsidRPr="002E1301">
        <w:rPr>
          <w:rFonts w:asciiTheme="minorHAnsi" w:hAnsiTheme="minorHAnsi"/>
          <w:i w:val="0"/>
          <w:iCs w:val="0"/>
        </w:rPr>
        <w:fldChar w:fldCharType="separate"/>
      </w:r>
      <w:r w:rsidR="00655C39">
        <w:rPr>
          <w:rFonts w:asciiTheme="minorHAnsi" w:hAnsiTheme="minorHAnsi"/>
          <w:noProof/>
        </w:rPr>
        <w:t>4</w:t>
      </w:r>
      <w:r w:rsidRPr="002E1301">
        <w:rPr>
          <w:rFonts w:asciiTheme="minorHAnsi" w:hAnsiTheme="minorHAnsi"/>
          <w:i w:val="0"/>
          <w:iCs w:val="0"/>
        </w:rPr>
        <w:fldChar w:fldCharType="end"/>
      </w:r>
      <w:r w:rsidRPr="002E1301">
        <w:rPr>
          <w:rFonts w:asciiTheme="minorHAnsi" w:hAnsiTheme="minorHAnsi"/>
        </w:rPr>
        <w:t xml:space="preserve">: </w:t>
      </w:r>
      <w:r w:rsidR="009B11B5" w:rsidRPr="002E1301">
        <w:rPr>
          <w:rFonts w:asciiTheme="minorHAnsi" w:hAnsiTheme="minorHAnsi"/>
        </w:rPr>
        <w:t>Regional and Financial Stakeholders</w:t>
      </w:r>
      <w:bookmarkEnd w:id="14"/>
      <w:r w:rsidR="009B11B5" w:rsidRPr="002E1301">
        <w:rPr>
          <w:rFonts w:asciiTheme="minorHAnsi" w:hAnsiTheme="minorHAnsi"/>
          <w:b/>
          <w:bCs/>
          <w:noProof/>
          <w:color w:val="90ABB1" w:themeColor="accent1"/>
          <w:spacing w:val="-10"/>
          <w:lang w:val="en-AU" w:eastAsia="de-AT"/>
        </w:rPr>
        <w:t xml:space="preserve"> </w:t>
      </w:r>
    </w:p>
    <w:p w14:paraId="5C8099CE" w14:textId="77777777" w:rsidR="00C01BA3" w:rsidRPr="00C01BA3" w:rsidRDefault="00C01BA3" w:rsidP="00B63AA4">
      <w:pPr>
        <w:spacing w:before="100" w:beforeAutospacing="1" w:after="100" w:afterAutospacing="1"/>
        <w:ind w:left="0" w:right="0"/>
        <w:jc w:val="left"/>
        <w:rPr>
          <w:rFonts w:asciiTheme="minorHAnsi" w:hAnsiTheme="minorHAnsi"/>
          <w:lang w:val="en-AU" w:eastAsia="hr-HR"/>
        </w:rPr>
      </w:pPr>
      <w:r w:rsidRPr="00C01BA3">
        <w:rPr>
          <w:rFonts w:asciiTheme="minorHAnsi" w:hAnsiTheme="minorHAnsi"/>
          <w:lang w:val="en-AU" w:eastAsia="hr-HR"/>
        </w:rPr>
        <w:t>Hydrogen development requires multi-level governance and cross-sectoral collaboration.</w:t>
      </w:r>
      <w:r w:rsidRPr="00C01BA3">
        <w:rPr>
          <w:rFonts w:asciiTheme="minorHAnsi" w:hAnsiTheme="minorHAnsi"/>
          <w:lang w:val="en-AU" w:eastAsia="hr-HR"/>
        </w:rPr>
        <w:br/>
        <w:t>Existing and recommended cooperation mechanisms include:</w:t>
      </w:r>
    </w:p>
    <w:p w14:paraId="4C994AE7" w14:textId="77777777" w:rsidR="00C01BA3" w:rsidRPr="00C01BA3" w:rsidRDefault="00C01BA3" w:rsidP="00B63AA4">
      <w:pPr>
        <w:numPr>
          <w:ilvl w:val="0"/>
          <w:numId w:val="78"/>
        </w:numPr>
        <w:spacing w:before="100" w:beforeAutospacing="1" w:after="100" w:afterAutospacing="1"/>
        <w:ind w:right="0"/>
        <w:jc w:val="left"/>
        <w:rPr>
          <w:rFonts w:asciiTheme="minorHAnsi" w:hAnsiTheme="minorHAnsi"/>
          <w:lang w:val="en-AU" w:eastAsia="hr-HR"/>
        </w:rPr>
      </w:pPr>
      <w:r w:rsidRPr="00C01BA3">
        <w:rPr>
          <w:rFonts w:asciiTheme="minorHAnsi" w:hAnsiTheme="minorHAnsi"/>
          <w:lang w:val="en-AU" w:eastAsia="hr-HR"/>
        </w:rPr>
        <w:lastRenderedPageBreak/>
        <w:t>National Hydrogen Council (proposed) – a formal coordination body linking government, industry, and academia.</w:t>
      </w:r>
    </w:p>
    <w:p w14:paraId="2FDB5C4E" w14:textId="645414FF" w:rsidR="00C01BA3" w:rsidRPr="00C01BA3" w:rsidRDefault="00C01BA3" w:rsidP="00B63AA4">
      <w:pPr>
        <w:numPr>
          <w:ilvl w:val="0"/>
          <w:numId w:val="78"/>
        </w:numPr>
        <w:spacing w:before="100" w:beforeAutospacing="1" w:after="100" w:afterAutospacing="1"/>
        <w:ind w:right="0"/>
        <w:jc w:val="left"/>
        <w:rPr>
          <w:rFonts w:asciiTheme="minorHAnsi" w:hAnsiTheme="minorHAnsi"/>
          <w:lang w:val="en-AU" w:eastAsia="hr-HR"/>
        </w:rPr>
      </w:pPr>
      <w:r w:rsidRPr="00C01BA3">
        <w:rPr>
          <w:rFonts w:asciiTheme="minorHAnsi" w:hAnsiTheme="minorHAnsi"/>
          <w:lang w:val="en-AU" w:eastAsia="hr-HR"/>
        </w:rPr>
        <w:t>Public-Private Partnerships (PPPs) – joint ventures for hydrogen valleys, refue</w:t>
      </w:r>
      <w:r w:rsidR="00BC4A44">
        <w:rPr>
          <w:rFonts w:asciiTheme="minorHAnsi" w:hAnsiTheme="minorHAnsi"/>
          <w:lang w:val="en-AU" w:eastAsia="hr-HR"/>
        </w:rPr>
        <w:t>l</w:t>
      </w:r>
      <w:r w:rsidRPr="00C01BA3">
        <w:rPr>
          <w:rFonts w:asciiTheme="minorHAnsi" w:hAnsiTheme="minorHAnsi"/>
          <w:lang w:val="en-AU" w:eastAsia="hr-HR"/>
        </w:rPr>
        <w:t>ling networks, and infrastructure development.</w:t>
      </w:r>
    </w:p>
    <w:p w14:paraId="0D70F4C1" w14:textId="77777777" w:rsidR="00C01BA3" w:rsidRPr="00C01BA3" w:rsidRDefault="00C01BA3" w:rsidP="00B63AA4">
      <w:pPr>
        <w:numPr>
          <w:ilvl w:val="0"/>
          <w:numId w:val="78"/>
        </w:numPr>
        <w:spacing w:before="100" w:beforeAutospacing="1" w:after="100" w:afterAutospacing="1"/>
        <w:ind w:right="0"/>
        <w:jc w:val="left"/>
        <w:rPr>
          <w:rFonts w:asciiTheme="minorHAnsi" w:hAnsiTheme="minorHAnsi"/>
          <w:lang w:val="en-AU" w:eastAsia="hr-HR"/>
        </w:rPr>
      </w:pPr>
      <w:r w:rsidRPr="00C01BA3">
        <w:rPr>
          <w:rFonts w:asciiTheme="minorHAnsi" w:hAnsiTheme="minorHAnsi"/>
          <w:lang w:val="en-AU" w:eastAsia="hr-HR"/>
        </w:rPr>
        <w:t>EU Project Consortia – Croatia’s participation in interregional projects such as the Adriatic-Ionian Hydrogen Corridor (AIHC).</w:t>
      </w:r>
    </w:p>
    <w:p w14:paraId="416A507A" w14:textId="77777777" w:rsidR="00C01BA3" w:rsidRPr="00C01BA3" w:rsidRDefault="00C01BA3" w:rsidP="00B63AA4">
      <w:pPr>
        <w:numPr>
          <w:ilvl w:val="0"/>
          <w:numId w:val="78"/>
        </w:numPr>
        <w:spacing w:before="100" w:beforeAutospacing="1" w:after="100" w:afterAutospacing="1"/>
        <w:ind w:right="0"/>
        <w:jc w:val="left"/>
        <w:rPr>
          <w:rFonts w:asciiTheme="minorHAnsi" w:hAnsiTheme="minorHAnsi"/>
          <w:lang w:val="en-AU" w:eastAsia="hr-HR"/>
        </w:rPr>
      </w:pPr>
      <w:r w:rsidRPr="00C01BA3">
        <w:rPr>
          <w:rFonts w:asciiTheme="minorHAnsi" w:hAnsiTheme="minorHAnsi"/>
          <w:lang w:val="en-AU" w:eastAsia="hr-HR"/>
        </w:rPr>
        <w:t>Knowledge Networks – national and regional hydrogen clusters facilitating information exchange and workforce training.</w:t>
      </w:r>
    </w:p>
    <w:p w14:paraId="269E3349" w14:textId="77777777" w:rsidR="00C01BA3" w:rsidRPr="00C01BA3" w:rsidRDefault="00C01BA3" w:rsidP="00B63AA4">
      <w:pPr>
        <w:spacing w:before="100" w:beforeAutospacing="1" w:after="100" w:afterAutospacing="1"/>
        <w:ind w:left="0" w:right="0"/>
        <w:jc w:val="left"/>
        <w:rPr>
          <w:rFonts w:asciiTheme="minorHAnsi" w:hAnsiTheme="minorHAnsi"/>
          <w:lang w:val="en-AU" w:eastAsia="hr-HR"/>
        </w:rPr>
      </w:pPr>
      <w:r w:rsidRPr="00C01BA3">
        <w:rPr>
          <w:rFonts w:asciiTheme="minorHAnsi" w:hAnsiTheme="minorHAnsi"/>
          <w:lang w:val="en-AU" w:eastAsia="hr-HR"/>
        </w:rPr>
        <w:t>These mechanisms enable policy coherence, accelerate technology transfer, and ensure that hydrogen deployment supports both national and EU-wide climate goals.</w:t>
      </w:r>
    </w:p>
    <w:tbl>
      <w:tblPr>
        <w:tblStyle w:val="Svijetlatablicareetke1"/>
        <w:tblW w:w="0" w:type="auto"/>
        <w:tblLook w:val="04A0" w:firstRow="1" w:lastRow="0" w:firstColumn="1" w:lastColumn="0" w:noHBand="0" w:noVBand="1"/>
      </w:tblPr>
      <w:tblGrid>
        <w:gridCol w:w="2430"/>
        <w:gridCol w:w="1778"/>
        <w:gridCol w:w="2330"/>
        <w:gridCol w:w="3090"/>
      </w:tblGrid>
      <w:tr w:rsidR="00C01BA3" w:rsidRPr="00C01BA3" w14:paraId="20D04FCA" w14:textId="77777777" w:rsidTr="002E13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ACA3C"/>
            <w:hideMark/>
          </w:tcPr>
          <w:p w14:paraId="60CFDCE3" w14:textId="2215989E" w:rsidR="00C01BA3" w:rsidRPr="002E1301" w:rsidRDefault="00C01BA3" w:rsidP="00C01BA3">
            <w:pPr>
              <w:spacing w:before="0" w:line="240" w:lineRule="auto"/>
              <w:ind w:left="0" w:right="0"/>
              <w:jc w:val="center"/>
              <w:rPr>
                <w:rFonts w:asciiTheme="minorHAnsi" w:hAnsiTheme="minorHAnsi"/>
                <w:b w:val="0"/>
                <w:bCs w:val="0"/>
                <w:color w:val="FFFFFF" w:themeColor="background1"/>
                <w:lang w:val="en-AU" w:eastAsia="hr-HR"/>
              </w:rPr>
            </w:pPr>
            <w:r w:rsidRPr="002E1301">
              <w:rPr>
                <w:rFonts w:asciiTheme="minorHAnsi" w:hAnsiTheme="minorHAnsi"/>
                <w:color w:val="FFFFFF" w:themeColor="background1"/>
                <w:lang w:val="en-AU" w:eastAsia="hr-HR"/>
              </w:rPr>
              <w:t xml:space="preserve">Stakeholder </w:t>
            </w:r>
            <w:r w:rsidR="002E1301" w:rsidRPr="002E1301">
              <w:rPr>
                <w:rFonts w:asciiTheme="minorHAnsi" w:hAnsiTheme="minorHAnsi"/>
                <w:color w:val="FFFFFF" w:themeColor="background1"/>
                <w:lang w:val="en-AU" w:eastAsia="hr-HR"/>
              </w:rPr>
              <w:t>g</w:t>
            </w:r>
            <w:r w:rsidRPr="002E1301">
              <w:rPr>
                <w:rFonts w:asciiTheme="minorHAnsi" w:hAnsiTheme="minorHAnsi"/>
                <w:color w:val="FFFFFF" w:themeColor="background1"/>
                <w:lang w:val="en-AU" w:eastAsia="hr-HR"/>
              </w:rPr>
              <w:t>roup</w:t>
            </w:r>
          </w:p>
        </w:tc>
        <w:tc>
          <w:tcPr>
            <w:tcW w:w="0" w:type="auto"/>
            <w:shd w:val="clear" w:color="auto" w:fill="9ACA3C"/>
            <w:hideMark/>
          </w:tcPr>
          <w:p w14:paraId="2159DC4A" w14:textId="00FB092C" w:rsidR="00C01BA3" w:rsidRPr="002E1301" w:rsidRDefault="00C01BA3" w:rsidP="00C01BA3">
            <w:pPr>
              <w:spacing w:before="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themeColor="background1"/>
                <w:lang w:val="en-AU" w:eastAsia="hr-HR"/>
              </w:rPr>
            </w:pPr>
            <w:r w:rsidRPr="002E1301">
              <w:rPr>
                <w:rFonts w:asciiTheme="minorHAnsi" w:hAnsiTheme="minorHAnsi"/>
                <w:color w:val="FFFFFF" w:themeColor="background1"/>
                <w:lang w:val="en-AU" w:eastAsia="hr-HR"/>
              </w:rPr>
              <w:t xml:space="preserve">Influence on </w:t>
            </w:r>
            <w:r w:rsidR="002E1301" w:rsidRPr="002E1301">
              <w:rPr>
                <w:rFonts w:asciiTheme="minorHAnsi" w:hAnsiTheme="minorHAnsi"/>
                <w:color w:val="FFFFFF" w:themeColor="background1"/>
                <w:lang w:val="en-AU" w:eastAsia="hr-HR"/>
              </w:rPr>
              <w:t>p</w:t>
            </w:r>
            <w:r w:rsidRPr="002E1301">
              <w:rPr>
                <w:rFonts w:asciiTheme="minorHAnsi" w:hAnsiTheme="minorHAnsi"/>
                <w:color w:val="FFFFFF" w:themeColor="background1"/>
                <w:lang w:val="en-AU" w:eastAsia="hr-HR"/>
              </w:rPr>
              <w:t>olicy</w:t>
            </w:r>
          </w:p>
        </w:tc>
        <w:tc>
          <w:tcPr>
            <w:tcW w:w="0" w:type="auto"/>
            <w:shd w:val="clear" w:color="auto" w:fill="9ACA3C"/>
            <w:hideMark/>
          </w:tcPr>
          <w:p w14:paraId="0F64C4F9" w14:textId="7C32FFA0" w:rsidR="00C01BA3" w:rsidRPr="002E1301" w:rsidRDefault="00C01BA3" w:rsidP="00C01BA3">
            <w:pPr>
              <w:spacing w:before="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themeColor="background1"/>
                <w:lang w:val="en-AU" w:eastAsia="hr-HR"/>
              </w:rPr>
            </w:pPr>
            <w:r w:rsidRPr="002E1301">
              <w:rPr>
                <w:rFonts w:asciiTheme="minorHAnsi" w:hAnsiTheme="minorHAnsi"/>
                <w:color w:val="FFFFFF" w:themeColor="background1"/>
                <w:lang w:val="en-AU" w:eastAsia="hr-HR"/>
              </w:rPr>
              <w:t xml:space="preserve">Implementation </w:t>
            </w:r>
            <w:r w:rsidR="002E1301" w:rsidRPr="002E1301">
              <w:rPr>
                <w:rFonts w:asciiTheme="minorHAnsi" w:hAnsiTheme="minorHAnsi"/>
                <w:color w:val="FFFFFF" w:themeColor="background1"/>
                <w:lang w:val="en-AU" w:eastAsia="hr-HR"/>
              </w:rPr>
              <w:t>c</w:t>
            </w:r>
            <w:r w:rsidRPr="002E1301">
              <w:rPr>
                <w:rFonts w:asciiTheme="minorHAnsi" w:hAnsiTheme="minorHAnsi"/>
                <w:color w:val="FFFFFF" w:themeColor="background1"/>
                <w:lang w:val="en-AU" w:eastAsia="hr-HR"/>
              </w:rPr>
              <w:t>apacity</w:t>
            </w:r>
          </w:p>
        </w:tc>
        <w:tc>
          <w:tcPr>
            <w:tcW w:w="0" w:type="auto"/>
            <w:shd w:val="clear" w:color="auto" w:fill="9ACA3C"/>
            <w:hideMark/>
          </w:tcPr>
          <w:p w14:paraId="27E53FE1" w14:textId="612DA309" w:rsidR="00C01BA3" w:rsidRPr="002E1301" w:rsidRDefault="00C01BA3" w:rsidP="00C01BA3">
            <w:pPr>
              <w:spacing w:before="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themeColor="background1"/>
                <w:lang w:val="en-AU" w:eastAsia="hr-HR"/>
              </w:rPr>
            </w:pPr>
            <w:r w:rsidRPr="002E1301">
              <w:rPr>
                <w:rFonts w:asciiTheme="minorHAnsi" w:hAnsiTheme="minorHAnsi"/>
                <w:color w:val="FFFFFF" w:themeColor="background1"/>
                <w:lang w:val="en-AU" w:eastAsia="hr-HR"/>
              </w:rPr>
              <w:t xml:space="preserve">Engagement </w:t>
            </w:r>
            <w:r w:rsidR="002E1301" w:rsidRPr="002E1301">
              <w:rPr>
                <w:rFonts w:asciiTheme="minorHAnsi" w:hAnsiTheme="minorHAnsi"/>
                <w:color w:val="FFFFFF" w:themeColor="background1"/>
                <w:lang w:val="en-AU" w:eastAsia="hr-HR"/>
              </w:rPr>
              <w:t>p</w:t>
            </w:r>
            <w:r w:rsidRPr="002E1301">
              <w:rPr>
                <w:rFonts w:asciiTheme="minorHAnsi" w:hAnsiTheme="minorHAnsi"/>
                <w:color w:val="FFFFFF" w:themeColor="background1"/>
                <w:lang w:val="en-AU" w:eastAsia="hr-HR"/>
              </w:rPr>
              <w:t>riority</w:t>
            </w:r>
          </w:p>
        </w:tc>
      </w:tr>
      <w:tr w:rsidR="00C01BA3" w:rsidRPr="00C01BA3" w14:paraId="24F712BE" w14:textId="77777777" w:rsidTr="002E1301">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hideMark/>
          </w:tcPr>
          <w:p w14:paraId="7291C2EF" w14:textId="77777777" w:rsidR="00C01BA3" w:rsidRPr="00C01BA3" w:rsidRDefault="00C01BA3" w:rsidP="00C01BA3">
            <w:pPr>
              <w:spacing w:before="0" w:line="240" w:lineRule="auto"/>
              <w:ind w:left="0" w:right="0"/>
              <w:jc w:val="left"/>
              <w:rPr>
                <w:rFonts w:asciiTheme="minorHAnsi" w:hAnsiTheme="minorHAnsi"/>
                <w:lang w:val="en-AU" w:eastAsia="hr-HR"/>
              </w:rPr>
            </w:pPr>
            <w:r w:rsidRPr="00C01BA3">
              <w:rPr>
                <w:rFonts w:asciiTheme="minorHAnsi" w:hAnsiTheme="minorHAnsi"/>
                <w:lang w:val="en-AU" w:eastAsia="hr-HR"/>
              </w:rPr>
              <w:t>Government &amp; Regulators</w:t>
            </w:r>
          </w:p>
        </w:tc>
        <w:tc>
          <w:tcPr>
            <w:tcW w:w="0" w:type="auto"/>
            <w:shd w:val="clear" w:color="auto" w:fill="F2F2F2" w:themeFill="background1" w:themeFillShade="F2"/>
            <w:hideMark/>
          </w:tcPr>
          <w:p w14:paraId="5CF040C3" w14:textId="77777777" w:rsidR="00C01BA3" w:rsidRPr="00C01BA3" w:rsidRDefault="00C01BA3" w:rsidP="00C01BA3">
            <w:pPr>
              <w:spacing w:before="0" w:line="240" w:lineRule="auto"/>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val="en-AU" w:eastAsia="hr-HR"/>
              </w:rPr>
            </w:pPr>
            <w:r w:rsidRPr="00C01BA3">
              <w:rPr>
                <w:rFonts w:asciiTheme="minorHAnsi" w:hAnsiTheme="minorHAnsi"/>
                <w:lang w:val="en-AU" w:eastAsia="hr-HR"/>
              </w:rPr>
              <w:t>Very High</w:t>
            </w:r>
          </w:p>
        </w:tc>
        <w:tc>
          <w:tcPr>
            <w:tcW w:w="0" w:type="auto"/>
            <w:shd w:val="clear" w:color="auto" w:fill="F2F2F2" w:themeFill="background1" w:themeFillShade="F2"/>
            <w:hideMark/>
          </w:tcPr>
          <w:p w14:paraId="07F14F16" w14:textId="77777777" w:rsidR="00C01BA3" w:rsidRPr="00C01BA3" w:rsidRDefault="00C01BA3" w:rsidP="00C01BA3">
            <w:pPr>
              <w:spacing w:before="0" w:line="240" w:lineRule="auto"/>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val="en-AU" w:eastAsia="hr-HR"/>
              </w:rPr>
            </w:pPr>
            <w:r w:rsidRPr="00C01BA3">
              <w:rPr>
                <w:rFonts w:asciiTheme="minorHAnsi" w:hAnsiTheme="minorHAnsi"/>
                <w:lang w:val="en-AU" w:eastAsia="hr-HR"/>
              </w:rPr>
              <w:t>High</w:t>
            </w:r>
          </w:p>
        </w:tc>
        <w:tc>
          <w:tcPr>
            <w:tcW w:w="0" w:type="auto"/>
            <w:shd w:val="clear" w:color="auto" w:fill="F2F2F2" w:themeFill="background1" w:themeFillShade="F2"/>
            <w:hideMark/>
          </w:tcPr>
          <w:p w14:paraId="4F73B517" w14:textId="77777777" w:rsidR="00C01BA3" w:rsidRPr="00C01BA3" w:rsidRDefault="00C01BA3" w:rsidP="00C01BA3">
            <w:pPr>
              <w:spacing w:before="0" w:line="240" w:lineRule="auto"/>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val="en-AU" w:eastAsia="hr-HR"/>
              </w:rPr>
            </w:pPr>
            <w:r w:rsidRPr="00C01BA3">
              <w:rPr>
                <w:rFonts w:asciiTheme="minorHAnsi" w:hAnsiTheme="minorHAnsi"/>
                <w:lang w:val="en-AU" w:eastAsia="hr-HR"/>
              </w:rPr>
              <w:t>Maintain strategic coordination</w:t>
            </w:r>
          </w:p>
        </w:tc>
      </w:tr>
      <w:tr w:rsidR="00C01BA3" w:rsidRPr="00C01BA3" w14:paraId="1B54FB1D" w14:textId="77777777" w:rsidTr="002E1301">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hideMark/>
          </w:tcPr>
          <w:p w14:paraId="3596BF44" w14:textId="77777777" w:rsidR="00C01BA3" w:rsidRPr="00C01BA3" w:rsidRDefault="00C01BA3" w:rsidP="00C01BA3">
            <w:pPr>
              <w:spacing w:before="0" w:line="240" w:lineRule="auto"/>
              <w:ind w:left="0" w:right="0"/>
              <w:jc w:val="left"/>
              <w:rPr>
                <w:rFonts w:asciiTheme="minorHAnsi" w:hAnsiTheme="minorHAnsi"/>
                <w:lang w:val="en-AU" w:eastAsia="hr-HR"/>
              </w:rPr>
            </w:pPr>
            <w:r w:rsidRPr="00C01BA3">
              <w:rPr>
                <w:rFonts w:asciiTheme="minorHAnsi" w:hAnsiTheme="minorHAnsi"/>
                <w:lang w:val="en-AU" w:eastAsia="hr-HR"/>
              </w:rPr>
              <w:t>Public Enterprises</w:t>
            </w:r>
          </w:p>
        </w:tc>
        <w:tc>
          <w:tcPr>
            <w:tcW w:w="0" w:type="auto"/>
            <w:shd w:val="clear" w:color="auto" w:fill="F2F2F2" w:themeFill="background1" w:themeFillShade="F2"/>
            <w:hideMark/>
          </w:tcPr>
          <w:p w14:paraId="73346F0A" w14:textId="77777777" w:rsidR="00C01BA3" w:rsidRPr="00C01BA3" w:rsidRDefault="00C01BA3" w:rsidP="00C01BA3">
            <w:pPr>
              <w:spacing w:before="0" w:line="240" w:lineRule="auto"/>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val="en-AU" w:eastAsia="hr-HR"/>
              </w:rPr>
            </w:pPr>
            <w:r w:rsidRPr="00C01BA3">
              <w:rPr>
                <w:rFonts w:asciiTheme="minorHAnsi" w:hAnsiTheme="minorHAnsi"/>
                <w:lang w:val="en-AU" w:eastAsia="hr-HR"/>
              </w:rPr>
              <w:t>High</w:t>
            </w:r>
          </w:p>
        </w:tc>
        <w:tc>
          <w:tcPr>
            <w:tcW w:w="0" w:type="auto"/>
            <w:shd w:val="clear" w:color="auto" w:fill="F2F2F2" w:themeFill="background1" w:themeFillShade="F2"/>
            <w:hideMark/>
          </w:tcPr>
          <w:p w14:paraId="3D94BC95" w14:textId="77777777" w:rsidR="00C01BA3" w:rsidRPr="00C01BA3" w:rsidRDefault="00C01BA3" w:rsidP="00C01BA3">
            <w:pPr>
              <w:spacing w:before="0" w:line="240" w:lineRule="auto"/>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val="en-AU" w:eastAsia="hr-HR"/>
              </w:rPr>
            </w:pPr>
            <w:r w:rsidRPr="00C01BA3">
              <w:rPr>
                <w:rFonts w:asciiTheme="minorHAnsi" w:hAnsiTheme="minorHAnsi"/>
                <w:lang w:val="en-AU" w:eastAsia="hr-HR"/>
              </w:rPr>
              <w:t>Very High</w:t>
            </w:r>
          </w:p>
        </w:tc>
        <w:tc>
          <w:tcPr>
            <w:tcW w:w="0" w:type="auto"/>
            <w:shd w:val="clear" w:color="auto" w:fill="F2F2F2" w:themeFill="background1" w:themeFillShade="F2"/>
            <w:hideMark/>
          </w:tcPr>
          <w:p w14:paraId="0E1373FA" w14:textId="77777777" w:rsidR="00C01BA3" w:rsidRPr="00C01BA3" w:rsidRDefault="00C01BA3" w:rsidP="00C01BA3">
            <w:pPr>
              <w:spacing w:before="0" w:line="240" w:lineRule="auto"/>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val="en-AU" w:eastAsia="hr-HR"/>
              </w:rPr>
            </w:pPr>
            <w:r w:rsidRPr="00C01BA3">
              <w:rPr>
                <w:rFonts w:asciiTheme="minorHAnsi" w:hAnsiTheme="minorHAnsi"/>
                <w:lang w:val="en-AU" w:eastAsia="hr-HR"/>
              </w:rPr>
              <w:t>Prioritize for infrastructure rollout</w:t>
            </w:r>
          </w:p>
        </w:tc>
      </w:tr>
      <w:tr w:rsidR="00C01BA3" w:rsidRPr="00C01BA3" w14:paraId="663244FA" w14:textId="77777777" w:rsidTr="002E1301">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hideMark/>
          </w:tcPr>
          <w:p w14:paraId="26325157" w14:textId="77777777" w:rsidR="00C01BA3" w:rsidRPr="00C01BA3" w:rsidRDefault="00C01BA3" w:rsidP="00C01BA3">
            <w:pPr>
              <w:spacing w:before="0" w:line="240" w:lineRule="auto"/>
              <w:ind w:left="0" w:right="0"/>
              <w:jc w:val="left"/>
              <w:rPr>
                <w:rFonts w:asciiTheme="minorHAnsi" w:hAnsiTheme="minorHAnsi"/>
                <w:lang w:val="en-AU" w:eastAsia="hr-HR"/>
              </w:rPr>
            </w:pPr>
            <w:r w:rsidRPr="00C01BA3">
              <w:rPr>
                <w:rFonts w:asciiTheme="minorHAnsi" w:hAnsiTheme="minorHAnsi"/>
                <w:lang w:val="en-AU" w:eastAsia="hr-HR"/>
              </w:rPr>
              <w:t>Private Sector &amp; Industry</w:t>
            </w:r>
          </w:p>
        </w:tc>
        <w:tc>
          <w:tcPr>
            <w:tcW w:w="0" w:type="auto"/>
            <w:shd w:val="clear" w:color="auto" w:fill="F2F2F2" w:themeFill="background1" w:themeFillShade="F2"/>
            <w:hideMark/>
          </w:tcPr>
          <w:p w14:paraId="73674D38" w14:textId="77777777" w:rsidR="00C01BA3" w:rsidRPr="00C01BA3" w:rsidRDefault="00C01BA3" w:rsidP="00C01BA3">
            <w:pPr>
              <w:spacing w:before="0" w:line="240" w:lineRule="auto"/>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val="en-AU" w:eastAsia="hr-HR"/>
              </w:rPr>
            </w:pPr>
            <w:r w:rsidRPr="00C01BA3">
              <w:rPr>
                <w:rFonts w:asciiTheme="minorHAnsi" w:hAnsiTheme="minorHAnsi"/>
                <w:lang w:val="en-AU" w:eastAsia="hr-HR"/>
              </w:rPr>
              <w:t>Medium–High</w:t>
            </w:r>
          </w:p>
        </w:tc>
        <w:tc>
          <w:tcPr>
            <w:tcW w:w="0" w:type="auto"/>
            <w:shd w:val="clear" w:color="auto" w:fill="F2F2F2" w:themeFill="background1" w:themeFillShade="F2"/>
            <w:hideMark/>
          </w:tcPr>
          <w:p w14:paraId="5D0A5CA5" w14:textId="77777777" w:rsidR="00C01BA3" w:rsidRPr="00C01BA3" w:rsidRDefault="00C01BA3" w:rsidP="00C01BA3">
            <w:pPr>
              <w:spacing w:before="0" w:line="240" w:lineRule="auto"/>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val="en-AU" w:eastAsia="hr-HR"/>
              </w:rPr>
            </w:pPr>
            <w:r w:rsidRPr="00C01BA3">
              <w:rPr>
                <w:rFonts w:asciiTheme="minorHAnsi" w:hAnsiTheme="minorHAnsi"/>
                <w:lang w:val="en-AU" w:eastAsia="hr-HR"/>
              </w:rPr>
              <w:t>High</w:t>
            </w:r>
          </w:p>
        </w:tc>
        <w:tc>
          <w:tcPr>
            <w:tcW w:w="0" w:type="auto"/>
            <w:shd w:val="clear" w:color="auto" w:fill="F2F2F2" w:themeFill="background1" w:themeFillShade="F2"/>
            <w:hideMark/>
          </w:tcPr>
          <w:p w14:paraId="71911728" w14:textId="77777777" w:rsidR="00C01BA3" w:rsidRPr="00C01BA3" w:rsidRDefault="00C01BA3" w:rsidP="00C01BA3">
            <w:pPr>
              <w:spacing w:before="0" w:line="240" w:lineRule="auto"/>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val="en-AU" w:eastAsia="hr-HR"/>
              </w:rPr>
            </w:pPr>
            <w:r w:rsidRPr="00C01BA3">
              <w:rPr>
                <w:rFonts w:asciiTheme="minorHAnsi" w:hAnsiTheme="minorHAnsi"/>
                <w:lang w:val="en-AU" w:eastAsia="hr-HR"/>
              </w:rPr>
              <w:t>Encourage investment and innovation</w:t>
            </w:r>
          </w:p>
        </w:tc>
      </w:tr>
      <w:tr w:rsidR="00C01BA3" w:rsidRPr="00C01BA3" w14:paraId="644261B4" w14:textId="77777777" w:rsidTr="002E1301">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hideMark/>
          </w:tcPr>
          <w:p w14:paraId="318D16F1" w14:textId="77777777" w:rsidR="00C01BA3" w:rsidRPr="00C01BA3" w:rsidRDefault="00C01BA3" w:rsidP="00C01BA3">
            <w:pPr>
              <w:spacing w:before="0" w:line="240" w:lineRule="auto"/>
              <w:ind w:left="0" w:right="0"/>
              <w:jc w:val="left"/>
              <w:rPr>
                <w:rFonts w:asciiTheme="minorHAnsi" w:hAnsiTheme="minorHAnsi"/>
                <w:lang w:val="en-AU" w:eastAsia="hr-HR"/>
              </w:rPr>
            </w:pPr>
            <w:r w:rsidRPr="00C01BA3">
              <w:rPr>
                <w:rFonts w:asciiTheme="minorHAnsi" w:hAnsiTheme="minorHAnsi"/>
                <w:lang w:val="en-AU" w:eastAsia="hr-HR"/>
              </w:rPr>
              <w:t>Research &amp; Academia</w:t>
            </w:r>
          </w:p>
        </w:tc>
        <w:tc>
          <w:tcPr>
            <w:tcW w:w="0" w:type="auto"/>
            <w:shd w:val="clear" w:color="auto" w:fill="F2F2F2" w:themeFill="background1" w:themeFillShade="F2"/>
            <w:hideMark/>
          </w:tcPr>
          <w:p w14:paraId="0CB5F984" w14:textId="21837E0E" w:rsidR="00C01BA3" w:rsidRPr="00C01BA3" w:rsidRDefault="00C01BA3" w:rsidP="00C01BA3">
            <w:pPr>
              <w:spacing w:before="0" w:line="240" w:lineRule="auto"/>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val="en-AU" w:eastAsia="hr-HR"/>
              </w:rPr>
            </w:pPr>
            <w:r w:rsidRPr="00C01BA3">
              <w:rPr>
                <w:rFonts w:asciiTheme="minorHAnsi" w:hAnsiTheme="minorHAnsi"/>
                <w:lang w:val="en-AU" w:eastAsia="hr-HR"/>
              </w:rPr>
              <w:t>Medium</w:t>
            </w:r>
            <w:r w:rsidR="00BC4A44">
              <w:rPr>
                <w:rFonts w:asciiTheme="minorHAnsi" w:hAnsiTheme="minorHAnsi"/>
                <w:lang w:val="en-AU" w:eastAsia="hr-HR"/>
              </w:rPr>
              <w:t>-High</w:t>
            </w:r>
          </w:p>
        </w:tc>
        <w:tc>
          <w:tcPr>
            <w:tcW w:w="0" w:type="auto"/>
            <w:shd w:val="clear" w:color="auto" w:fill="F2F2F2" w:themeFill="background1" w:themeFillShade="F2"/>
            <w:hideMark/>
          </w:tcPr>
          <w:p w14:paraId="3C31E7E3" w14:textId="77777777" w:rsidR="00C01BA3" w:rsidRPr="00C01BA3" w:rsidRDefault="00C01BA3" w:rsidP="00C01BA3">
            <w:pPr>
              <w:spacing w:before="0" w:line="240" w:lineRule="auto"/>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val="en-AU" w:eastAsia="hr-HR"/>
              </w:rPr>
            </w:pPr>
            <w:r w:rsidRPr="00C01BA3">
              <w:rPr>
                <w:rFonts w:asciiTheme="minorHAnsi" w:hAnsiTheme="minorHAnsi"/>
                <w:lang w:val="en-AU" w:eastAsia="hr-HR"/>
              </w:rPr>
              <w:t>Medium–High</w:t>
            </w:r>
          </w:p>
        </w:tc>
        <w:tc>
          <w:tcPr>
            <w:tcW w:w="0" w:type="auto"/>
            <w:shd w:val="clear" w:color="auto" w:fill="F2F2F2" w:themeFill="background1" w:themeFillShade="F2"/>
            <w:hideMark/>
          </w:tcPr>
          <w:p w14:paraId="6199CC60" w14:textId="77777777" w:rsidR="00C01BA3" w:rsidRPr="00C01BA3" w:rsidRDefault="00C01BA3" w:rsidP="00C01BA3">
            <w:pPr>
              <w:spacing w:before="0" w:line="240" w:lineRule="auto"/>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val="en-AU" w:eastAsia="hr-HR"/>
              </w:rPr>
            </w:pPr>
            <w:r w:rsidRPr="00C01BA3">
              <w:rPr>
                <w:rFonts w:asciiTheme="minorHAnsi" w:hAnsiTheme="minorHAnsi"/>
                <w:lang w:val="en-AU" w:eastAsia="hr-HR"/>
              </w:rPr>
              <w:t>Strengthen R&amp;D and skills</w:t>
            </w:r>
          </w:p>
        </w:tc>
      </w:tr>
      <w:tr w:rsidR="00C01BA3" w:rsidRPr="00C01BA3" w14:paraId="1B3FD733" w14:textId="77777777" w:rsidTr="002E1301">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hideMark/>
          </w:tcPr>
          <w:p w14:paraId="61AB26A2" w14:textId="77777777" w:rsidR="00C01BA3" w:rsidRPr="00C01BA3" w:rsidRDefault="00C01BA3" w:rsidP="00C01BA3">
            <w:pPr>
              <w:spacing w:before="0" w:line="240" w:lineRule="auto"/>
              <w:ind w:left="0" w:right="0"/>
              <w:jc w:val="left"/>
              <w:rPr>
                <w:rFonts w:asciiTheme="minorHAnsi" w:hAnsiTheme="minorHAnsi"/>
                <w:lang w:val="en-AU" w:eastAsia="hr-HR"/>
              </w:rPr>
            </w:pPr>
            <w:r w:rsidRPr="00C01BA3">
              <w:rPr>
                <w:rFonts w:asciiTheme="minorHAnsi" w:hAnsiTheme="minorHAnsi"/>
                <w:lang w:val="en-AU" w:eastAsia="hr-HR"/>
              </w:rPr>
              <w:t>Regional &amp; Financial Actors</w:t>
            </w:r>
          </w:p>
        </w:tc>
        <w:tc>
          <w:tcPr>
            <w:tcW w:w="0" w:type="auto"/>
            <w:shd w:val="clear" w:color="auto" w:fill="F2F2F2" w:themeFill="background1" w:themeFillShade="F2"/>
            <w:hideMark/>
          </w:tcPr>
          <w:p w14:paraId="7DF5F26F" w14:textId="77777777" w:rsidR="00C01BA3" w:rsidRPr="00C01BA3" w:rsidRDefault="00C01BA3" w:rsidP="00C01BA3">
            <w:pPr>
              <w:spacing w:before="0" w:line="240" w:lineRule="auto"/>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val="en-AU" w:eastAsia="hr-HR"/>
              </w:rPr>
            </w:pPr>
            <w:r w:rsidRPr="00C01BA3">
              <w:rPr>
                <w:rFonts w:asciiTheme="minorHAnsi" w:hAnsiTheme="minorHAnsi"/>
                <w:lang w:val="en-AU" w:eastAsia="hr-HR"/>
              </w:rPr>
              <w:t>Medium</w:t>
            </w:r>
          </w:p>
        </w:tc>
        <w:tc>
          <w:tcPr>
            <w:tcW w:w="0" w:type="auto"/>
            <w:shd w:val="clear" w:color="auto" w:fill="F2F2F2" w:themeFill="background1" w:themeFillShade="F2"/>
            <w:hideMark/>
          </w:tcPr>
          <w:p w14:paraId="5F628781" w14:textId="77777777" w:rsidR="00C01BA3" w:rsidRPr="00C01BA3" w:rsidRDefault="00C01BA3" w:rsidP="00C01BA3">
            <w:pPr>
              <w:spacing w:before="0" w:line="240" w:lineRule="auto"/>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val="en-AU" w:eastAsia="hr-HR"/>
              </w:rPr>
            </w:pPr>
            <w:r w:rsidRPr="00C01BA3">
              <w:rPr>
                <w:rFonts w:asciiTheme="minorHAnsi" w:hAnsiTheme="minorHAnsi"/>
                <w:lang w:val="en-AU" w:eastAsia="hr-HR"/>
              </w:rPr>
              <w:t>Medium</w:t>
            </w:r>
          </w:p>
        </w:tc>
        <w:tc>
          <w:tcPr>
            <w:tcW w:w="0" w:type="auto"/>
            <w:shd w:val="clear" w:color="auto" w:fill="F2F2F2" w:themeFill="background1" w:themeFillShade="F2"/>
            <w:hideMark/>
          </w:tcPr>
          <w:p w14:paraId="61F55161" w14:textId="77777777" w:rsidR="00C01BA3" w:rsidRPr="00C01BA3" w:rsidRDefault="00C01BA3" w:rsidP="00C01BA3">
            <w:pPr>
              <w:spacing w:before="0" w:line="240" w:lineRule="auto"/>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val="en-AU" w:eastAsia="hr-HR"/>
              </w:rPr>
            </w:pPr>
            <w:r w:rsidRPr="00C01BA3">
              <w:rPr>
                <w:rFonts w:asciiTheme="minorHAnsi" w:hAnsiTheme="minorHAnsi"/>
                <w:lang w:val="en-AU" w:eastAsia="hr-HR"/>
              </w:rPr>
              <w:t>Integrate financing and local planning</w:t>
            </w:r>
          </w:p>
        </w:tc>
      </w:tr>
      <w:tr w:rsidR="00C01BA3" w:rsidRPr="00C01BA3" w14:paraId="53C91BA2" w14:textId="77777777" w:rsidTr="002E1301">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hideMark/>
          </w:tcPr>
          <w:p w14:paraId="7B2F74A6" w14:textId="77777777" w:rsidR="00C01BA3" w:rsidRPr="00C01BA3" w:rsidRDefault="00C01BA3" w:rsidP="00C01BA3">
            <w:pPr>
              <w:spacing w:before="0" w:line="240" w:lineRule="auto"/>
              <w:ind w:left="0" w:right="0"/>
              <w:jc w:val="left"/>
              <w:rPr>
                <w:rFonts w:asciiTheme="minorHAnsi" w:hAnsiTheme="minorHAnsi"/>
                <w:lang w:val="en-AU" w:eastAsia="hr-HR"/>
              </w:rPr>
            </w:pPr>
            <w:r w:rsidRPr="00C01BA3">
              <w:rPr>
                <w:rFonts w:asciiTheme="minorHAnsi" w:hAnsiTheme="minorHAnsi"/>
                <w:lang w:val="en-AU" w:eastAsia="hr-HR"/>
              </w:rPr>
              <w:t>Civil Society</w:t>
            </w:r>
          </w:p>
        </w:tc>
        <w:tc>
          <w:tcPr>
            <w:tcW w:w="0" w:type="auto"/>
            <w:shd w:val="clear" w:color="auto" w:fill="F2F2F2" w:themeFill="background1" w:themeFillShade="F2"/>
            <w:hideMark/>
          </w:tcPr>
          <w:p w14:paraId="669AFC30" w14:textId="77777777" w:rsidR="00C01BA3" w:rsidRPr="00C01BA3" w:rsidRDefault="00C01BA3" w:rsidP="00C01BA3">
            <w:pPr>
              <w:spacing w:before="0" w:line="240" w:lineRule="auto"/>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val="en-AU" w:eastAsia="hr-HR"/>
              </w:rPr>
            </w:pPr>
            <w:r w:rsidRPr="00C01BA3">
              <w:rPr>
                <w:rFonts w:asciiTheme="minorHAnsi" w:hAnsiTheme="minorHAnsi"/>
                <w:lang w:val="en-AU" w:eastAsia="hr-HR"/>
              </w:rPr>
              <w:t>Low</w:t>
            </w:r>
          </w:p>
        </w:tc>
        <w:tc>
          <w:tcPr>
            <w:tcW w:w="0" w:type="auto"/>
            <w:shd w:val="clear" w:color="auto" w:fill="F2F2F2" w:themeFill="background1" w:themeFillShade="F2"/>
            <w:hideMark/>
          </w:tcPr>
          <w:p w14:paraId="62C9AF40" w14:textId="77777777" w:rsidR="00C01BA3" w:rsidRPr="00C01BA3" w:rsidRDefault="00C01BA3" w:rsidP="00C01BA3">
            <w:pPr>
              <w:spacing w:before="0" w:line="240" w:lineRule="auto"/>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val="en-AU" w:eastAsia="hr-HR"/>
              </w:rPr>
            </w:pPr>
            <w:r w:rsidRPr="00C01BA3">
              <w:rPr>
                <w:rFonts w:asciiTheme="minorHAnsi" w:hAnsiTheme="minorHAnsi"/>
                <w:lang w:val="en-AU" w:eastAsia="hr-HR"/>
              </w:rPr>
              <w:t>Medium</w:t>
            </w:r>
          </w:p>
        </w:tc>
        <w:tc>
          <w:tcPr>
            <w:tcW w:w="0" w:type="auto"/>
            <w:shd w:val="clear" w:color="auto" w:fill="F2F2F2" w:themeFill="background1" w:themeFillShade="F2"/>
            <w:hideMark/>
          </w:tcPr>
          <w:p w14:paraId="6E552714" w14:textId="77777777" w:rsidR="00C01BA3" w:rsidRPr="00C01BA3" w:rsidRDefault="00C01BA3" w:rsidP="00C01BA3">
            <w:pPr>
              <w:spacing w:before="0" w:line="240" w:lineRule="auto"/>
              <w:ind w:left="0" w:right="0"/>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val="en-AU" w:eastAsia="hr-HR"/>
              </w:rPr>
            </w:pPr>
            <w:r w:rsidRPr="00C01BA3">
              <w:rPr>
                <w:rFonts w:asciiTheme="minorHAnsi" w:hAnsiTheme="minorHAnsi"/>
                <w:lang w:val="en-AU" w:eastAsia="hr-HR"/>
              </w:rPr>
              <w:t>Increase outreach and acceptance</w:t>
            </w:r>
          </w:p>
        </w:tc>
      </w:tr>
    </w:tbl>
    <w:p w14:paraId="0960AAA9" w14:textId="5FB0BDA2" w:rsidR="009B11B5" w:rsidRPr="002E1301" w:rsidRDefault="002E1301" w:rsidP="002E1301">
      <w:pPr>
        <w:pStyle w:val="Opisslike"/>
        <w:jc w:val="center"/>
        <w:rPr>
          <w:rFonts w:asciiTheme="minorHAnsi" w:hAnsiTheme="minorHAnsi"/>
          <w:noProof/>
          <w:color w:val="90ABB1" w:themeColor="accent1"/>
          <w:spacing w:val="-10"/>
          <w:lang w:val="en-AU" w:eastAsia="de-AT"/>
        </w:rPr>
      </w:pPr>
      <w:bookmarkStart w:id="15" w:name="_Toc219232428"/>
      <w:r w:rsidRPr="002E1301">
        <w:rPr>
          <w:rFonts w:asciiTheme="minorHAnsi" w:hAnsiTheme="minorHAnsi"/>
        </w:rPr>
        <w:t xml:space="preserve">Table </w:t>
      </w:r>
      <w:r w:rsidRPr="002E1301">
        <w:rPr>
          <w:rFonts w:asciiTheme="minorHAnsi" w:hAnsiTheme="minorHAnsi"/>
        </w:rPr>
        <w:fldChar w:fldCharType="begin"/>
      </w:r>
      <w:r w:rsidRPr="002E1301">
        <w:rPr>
          <w:rFonts w:asciiTheme="minorHAnsi" w:hAnsiTheme="minorHAnsi"/>
        </w:rPr>
        <w:instrText xml:space="preserve"> SEQ Table \* ARABIC </w:instrText>
      </w:r>
      <w:r w:rsidRPr="002E1301">
        <w:rPr>
          <w:rFonts w:asciiTheme="minorHAnsi" w:hAnsiTheme="minorHAnsi"/>
        </w:rPr>
        <w:fldChar w:fldCharType="separate"/>
      </w:r>
      <w:r w:rsidR="00655C39">
        <w:rPr>
          <w:rFonts w:asciiTheme="minorHAnsi" w:hAnsiTheme="minorHAnsi"/>
          <w:noProof/>
        </w:rPr>
        <w:t>5</w:t>
      </w:r>
      <w:r w:rsidRPr="002E1301">
        <w:rPr>
          <w:rFonts w:asciiTheme="minorHAnsi" w:hAnsiTheme="minorHAnsi"/>
        </w:rPr>
        <w:fldChar w:fldCharType="end"/>
      </w:r>
      <w:r w:rsidRPr="002E1301">
        <w:rPr>
          <w:rFonts w:asciiTheme="minorHAnsi" w:hAnsiTheme="minorHAnsi"/>
        </w:rPr>
        <w:t xml:space="preserve">: </w:t>
      </w:r>
      <w:r w:rsidR="00C01BA3" w:rsidRPr="002E1301">
        <w:rPr>
          <w:rFonts w:asciiTheme="minorHAnsi" w:hAnsiTheme="minorHAnsi"/>
        </w:rPr>
        <w:t>Stakeholder Influence and Engagement Priority</w:t>
      </w:r>
      <w:bookmarkEnd w:id="15"/>
    </w:p>
    <w:p w14:paraId="4BFF324D" w14:textId="621FBF29" w:rsidR="009842BF" w:rsidRDefault="009842BF" w:rsidP="00C01BA3">
      <w:pPr>
        <w:pStyle w:val="CE-StandardText"/>
      </w:pPr>
      <w:r>
        <w:t xml:space="preserve">The following recommendations are provided to strengthen stakeholder collaboration in the development of the hydrogen economy. It is recommended to </w:t>
      </w:r>
      <w:r>
        <w:rPr>
          <w:rStyle w:val="Naglaeno"/>
        </w:rPr>
        <w:t>establish a National Hydrogen Platform</w:t>
      </w:r>
      <w:r>
        <w:t xml:space="preserve"> to formalize cooperation among ministries, regulators, industry, and academia. Furthermore, efforts should be made to </w:t>
      </w:r>
      <w:r>
        <w:rPr>
          <w:rStyle w:val="Naglaeno"/>
        </w:rPr>
        <w:t>encourage cluster development</w:t>
      </w:r>
      <w:r>
        <w:t xml:space="preserve"> by supporting regional hydrogen valleys that connect renewable energy resources with industry and transport sectors. Another key action is to </w:t>
      </w:r>
      <w:r>
        <w:rPr>
          <w:rStyle w:val="Naglaeno"/>
        </w:rPr>
        <w:t>enhance stakeholder capacity building</w:t>
      </w:r>
      <w:r>
        <w:t xml:space="preserve"> through targeted training programmes and knowledge exchange initiatives with the European Union. It is also essential to </w:t>
      </w:r>
      <w:r>
        <w:rPr>
          <w:rStyle w:val="Naglaeno"/>
        </w:rPr>
        <w:t>develop transparent communication channels</w:t>
      </w:r>
      <w:r>
        <w:t xml:space="preserve"> to improve public understanding and acceptance of hydrogen technologies. Finally, it is recommended to </w:t>
      </w:r>
      <w:r>
        <w:rPr>
          <w:rStyle w:val="Naglaeno"/>
        </w:rPr>
        <w:t>foster interregional partnerships</w:t>
      </w:r>
      <w:r>
        <w:t xml:space="preserve"> with </w:t>
      </w:r>
      <w:r>
        <w:rPr>
          <w:rStyle w:val="Naglaeno"/>
        </w:rPr>
        <w:t>neighboring countries</w:t>
      </w:r>
      <w:r>
        <w:t xml:space="preserve"> through joint investment plans and shared infrastructure initiatives under frameworks such as INTERREG or IPCEI.</w:t>
      </w:r>
    </w:p>
    <w:p w14:paraId="66F602C2" w14:textId="18399E86" w:rsidR="00C01BA3" w:rsidRPr="00C01BA3" w:rsidRDefault="00C01BA3" w:rsidP="00C01BA3">
      <w:pPr>
        <w:pStyle w:val="CE-StandardText"/>
      </w:pPr>
      <w:r w:rsidRPr="00C01BA3">
        <w:t>The stakeholder landscape for hydrogen development in Croatia is diverse, dynamic, and expanding rapidly. Strong collaboration between public institutions, industry leaders, research bodies, and financial actors will be crucial to achieve Croatia’s hydrogen ambitions and contribute meaningfully to the European Hydrogen Economy.</w:t>
      </w:r>
    </w:p>
    <w:p w14:paraId="138A9FCD" w14:textId="2A2D9E5F" w:rsidR="00F20312" w:rsidRPr="00C01BA3" w:rsidRDefault="00C01BA3" w:rsidP="00C01BA3">
      <w:pPr>
        <w:pStyle w:val="CE-StandardText"/>
      </w:pPr>
      <w:r w:rsidRPr="00C01BA3">
        <w:t>By creating structured coordination mechanisms and aligning national actors with interregional hydrogen corridors and EU strategic projects, Croatia can transform its stakeholder ecosystem into a cohesive, innovation-driven partnership network — ensuring long-term competitiveness, sustainability, and regional leadership in clean hydrogen deployment.</w:t>
      </w:r>
    </w:p>
    <w:p w14:paraId="1A36C08A" w14:textId="77777777" w:rsidR="008D4E47" w:rsidRDefault="008D4E47">
      <w:pPr>
        <w:spacing w:before="0" w:line="240" w:lineRule="auto"/>
        <w:ind w:left="0" w:right="0"/>
        <w:jc w:val="left"/>
        <w:rPr>
          <w:rFonts w:ascii="Trebuchet MS" w:hAnsi="Trebuchet MS"/>
          <w:b/>
          <w:bCs/>
          <w:iCs/>
          <w:noProof/>
          <w:color w:val="90ABB1" w:themeColor="accent1"/>
          <w:spacing w:val="-10"/>
          <w:sz w:val="28"/>
          <w:szCs w:val="26"/>
          <w:lang w:val="en-AU" w:eastAsia="de-AT"/>
        </w:rPr>
      </w:pPr>
      <w:r>
        <w:rPr>
          <w:lang w:val="en-AU"/>
        </w:rPr>
        <w:br w:type="page"/>
      </w:r>
    </w:p>
    <w:p w14:paraId="5F084A86" w14:textId="64656EFA" w:rsidR="00DD1490" w:rsidRDefault="00F20312" w:rsidP="00E77506">
      <w:pPr>
        <w:pStyle w:val="CE-Headline1"/>
        <w:rPr>
          <w:rFonts w:eastAsiaTheme="majorEastAsia"/>
        </w:rPr>
      </w:pPr>
      <w:bookmarkStart w:id="16" w:name="_Toc219232400"/>
      <w:r>
        <w:rPr>
          <w:rFonts w:eastAsiaTheme="majorEastAsia"/>
        </w:rPr>
        <w:lastRenderedPageBreak/>
        <w:t xml:space="preserve">Interregional </w:t>
      </w:r>
      <w:r w:rsidR="00A44A4F">
        <w:rPr>
          <w:rFonts w:eastAsiaTheme="majorEastAsia"/>
        </w:rPr>
        <w:t>H</w:t>
      </w:r>
      <w:r>
        <w:rPr>
          <w:rFonts w:eastAsiaTheme="majorEastAsia"/>
        </w:rPr>
        <w:t>ydrogen readiness in Croatia</w:t>
      </w:r>
      <w:bookmarkEnd w:id="16"/>
    </w:p>
    <w:p w14:paraId="6412F8F9" w14:textId="4DB23C8E" w:rsidR="001C0F1A" w:rsidRDefault="001C0F1A" w:rsidP="001C0F1A">
      <w:pPr>
        <w:pStyle w:val="CE-TableStandard"/>
        <w:jc w:val="both"/>
        <w:rPr>
          <w:rFonts w:eastAsiaTheme="majorEastAsia"/>
          <w:sz w:val="20"/>
          <w:szCs w:val="20"/>
        </w:rPr>
      </w:pPr>
      <w:r w:rsidRPr="001C0F1A">
        <w:rPr>
          <w:rFonts w:eastAsiaTheme="majorEastAsia"/>
          <w:sz w:val="20"/>
          <w:szCs w:val="20"/>
        </w:rPr>
        <w:t>Croatia is generally most suited for hydrogen development in regions with high industrial demand, plenty of potential for Renewable Energy Sources (RES), and convenient access to markets and infrastructure. A coordinated interregional plan that links inland industrial demand and innovation hubs with coastal RES power plants is necessary to maximise the benefits of the hydrogen economy for the entire country. Hydrogen may play a significant role in Croatia's transition to a low-carbon economy. Opportunities for the creation of a hydrogen value chain tailored to each region are presented by the country's diverse regional energy profiles, which range from industrial areas to areas abundant in RES like solar and wind energy both inland and along the coast. Assessing regional readiness involves analysing the availability of RES, industrial demand, infrastructural readiness, research and innovation capabilities, and regional policy support mechanisms.</w:t>
      </w:r>
    </w:p>
    <w:p w14:paraId="7359BD30" w14:textId="77777777" w:rsidR="001C0F1A" w:rsidRPr="001C0F1A" w:rsidRDefault="001C0F1A" w:rsidP="001C0F1A">
      <w:pPr>
        <w:pStyle w:val="CE-TableStandard"/>
        <w:jc w:val="both"/>
        <w:rPr>
          <w:rFonts w:eastAsiaTheme="majorEastAsia"/>
          <w:sz w:val="20"/>
          <w:szCs w:val="20"/>
        </w:rPr>
      </w:pPr>
    </w:p>
    <w:p w14:paraId="410E7158" w14:textId="5575AE0B" w:rsidR="00F20312" w:rsidRDefault="00F20312" w:rsidP="00F20312">
      <w:pPr>
        <w:pStyle w:val="CE-Headline2"/>
        <w:rPr>
          <w:rFonts w:eastAsiaTheme="majorEastAsia"/>
        </w:rPr>
      </w:pPr>
      <w:bookmarkStart w:id="17" w:name="_Toc219232401"/>
      <w:r>
        <w:rPr>
          <w:rFonts w:eastAsiaTheme="majorEastAsia"/>
        </w:rPr>
        <w:t>Identification of regions with the highest potential</w:t>
      </w:r>
      <w:bookmarkEnd w:id="17"/>
    </w:p>
    <w:p w14:paraId="2B3870AD" w14:textId="340E5C28" w:rsidR="00B20876" w:rsidRDefault="001C0F1A" w:rsidP="00A16F2D">
      <w:pPr>
        <w:pStyle w:val="CE-TableStandard"/>
        <w:jc w:val="both"/>
        <w:rPr>
          <w:rFonts w:eastAsiaTheme="majorEastAsia"/>
          <w:sz w:val="20"/>
          <w:szCs w:val="20"/>
        </w:rPr>
      </w:pPr>
      <w:r w:rsidRPr="001C0F1A">
        <w:rPr>
          <w:rFonts w:eastAsiaTheme="majorEastAsia"/>
          <w:sz w:val="20"/>
          <w:szCs w:val="20"/>
        </w:rPr>
        <w:t>Croatia's ability to establish a competitive and resilient hydrogen economy is influenced by significant regional variations in natural resources, industrial composition, and energy infrastructure. These disparities should not be viewed as limitations. Instead, they present an opportunity to develop a polycentric and synergistic national hydrogen system, in which each region leverages its comparative advantages. This section highlights the regions with the greatest potential for swift hydrogen deployment and the development of integrated hydrogen ecosystems, which can support national decarbonization goals and align with the EU Hydrogen Strategy</w:t>
      </w:r>
      <w:r>
        <w:rPr>
          <w:rStyle w:val="Referencafusnote"/>
          <w:rFonts w:eastAsiaTheme="majorEastAsia"/>
          <w:sz w:val="20"/>
          <w:szCs w:val="20"/>
        </w:rPr>
        <w:footnoteReference w:id="2"/>
      </w:r>
      <w:r>
        <w:rPr>
          <w:rFonts w:eastAsiaTheme="majorEastAsia"/>
          <w:sz w:val="20"/>
          <w:szCs w:val="20"/>
        </w:rPr>
        <w:t>.</w:t>
      </w:r>
    </w:p>
    <w:p w14:paraId="78BC0550" w14:textId="77777777" w:rsidR="001C0F1A" w:rsidRPr="001C0F1A" w:rsidRDefault="001C0F1A" w:rsidP="007B4F6B">
      <w:pPr>
        <w:pBdr>
          <w:top w:val="single" w:sz="4" w:space="1" w:color="auto"/>
          <w:bottom w:val="single" w:sz="4" w:space="1" w:color="auto"/>
        </w:pBdr>
        <w:shd w:val="clear" w:color="auto" w:fill="9ACA3C"/>
        <w:spacing w:before="100" w:beforeAutospacing="1"/>
        <w:ind w:left="0" w:right="0"/>
        <w:rPr>
          <w:rFonts w:asciiTheme="minorHAnsi" w:hAnsiTheme="minorHAnsi"/>
          <w:color w:val="FFFFFF" w:themeColor="background1"/>
          <w:sz w:val="24"/>
          <w:szCs w:val="24"/>
          <w:lang w:val="en-AU" w:eastAsia="en-GB"/>
        </w:rPr>
      </w:pPr>
      <w:r w:rsidRPr="001C0F1A">
        <w:rPr>
          <w:rFonts w:asciiTheme="minorHAnsi" w:hAnsiTheme="minorHAnsi"/>
          <w:color w:val="FFFFFF" w:themeColor="background1"/>
          <w:sz w:val="24"/>
          <w:szCs w:val="24"/>
          <w:lang w:val="en-AU" w:eastAsia="en-GB"/>
        </w:rPr>
        <w:t>Regional Overview and Strategic Relevance</w:t>
      </w:r>
    </w:p>
    <w:p w14:paraId="6024D66E" w14:textId="77777777" w:rsidR="001C0F1A" w:rsidRPr="001C0F1A" w:rsidRDefault="001C0F1A" w:rsidP="001C0F1A">
      <w:pPr>
        <w:spacing w:before="0"/>
        <w:ind w:left="0" w:right="0"/>
        <w:rPr>
          <w:rFonts w:asciiTheme="minorHAnsi" w:hAnsiTheme="minorHAnsi"/>
          <w:lang w:val="en-AU" w:eastAsia="en-GB"/>
        </w:rPr>
      </w:pPr>
      <w:r w:rsidRPr="001C0F1A">
        <w:rPr>
          <w:rFonts w:asciiTheme="minorHAnsi" w:hAnsiTheme="minorHAnsi"/>
          <w:noProof/>
          <w:lang w:val="hr-HR" w:eastAsia="hr-HR"/>
        </w:rPr>
        <w:drawing>
          <wp:anchor distT="0" distB="0" distL="114300" distR="114300" simplePos="0" relativeHeight="251678720" behindDoc="0" locked="0" layoutInCell="1" allowOverlap="1" wp14:anchorId="0A59D1D3" wp14:editId="17CBD8D5">
            <wp:simplePos x="0" y="0"/>
            <wp:positionH relativeFrom="column">
              <wp:posOffset>3790950</wp:posOffset>
            </wp:positionH>
            <wp:positionV relativeFrom="paragraph">
              <wp:posOffset>46778</wp:posOffset>
            </wp:positionV>
            <wp:extent cx="2289387" cy="2226949"/>
            <wp:effectExtent l="0" t="0" r="0" b="0"/>
            <wp:wrapSquare wrapText="bothSides"/>
            <wp:docPr id="8" name="Picture 8" descr="A map of the reg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ap of the reg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9387" cy="2226949"/>
                    </a:xfrm>
                    <a:prstGeom prst="rect">
                      <a:avLst/>
                    </a:prstGeom>
                  </pic:spPr>
                </pic:pic>
              </a:graphicData>
            </a:graphic>
            <wp14:sizeRelH relativeFrom="page">
              <wp14:pctWidth>0</wp14:pctWidth>
            </wp14:sizeRelH>
            <wp14:sizeRelV relativeFrom="page">
              <wp14:pctHeight>0</wp14:pctHeight>
            </wp14:sizeRelV>
          </wp:anchor>
        </w:drawing>
      </w:r>
      <w:r w:rsidRPr="001C0F1A">
        <w:rPr>
          <w:rFonts w:asciiTheme="minorHAnsi" w:hAnsiTheme="minorHAnsi"/>
          <w:lang w:val="en-AU" w:eastAsia="en-GB"/>
        </w:rPr>
        <w:t>Hydrogen potential in Croatia is unevenly distributed because of regional climate, RES availability, industrial activity, and the presence of important transportation and port infrastructure.</w:t>
      </w:r>
    </w:p>
    <w:p w14:paraId="00432A48" w14:textId="77777777" w:rsidR="001C0F1A" w:rsidRPr="001C0F1A" w:rsidRDefault="001C0F1A" w:rsidP="001C0F1A">
      <w:pPr>
        <w:spacing w:before="240"/>
        <w:ind w:left="0" w:right="0"/>
        <w:rPr>
          <w:rFonts w:asciiTheme="minorHAnsi" w:hAnsiTheme="minorHAnsi"/>
          <w:lang w:val="en-AU" w:eastAsia="en-GB"/>
        </w:rPr>
      </w:pPr>
      <w:r w:rsidRPr="001C0F1A">
        <w:rPr>
          <w:rFonts w:asciiTheme="minorHAnsi" w:hAnsiTheme="minorHAnsi"/>
          <w:lang w:val="en-AU" w:eastAsia="en-GB"/>
        </w:rPr>
        <w:t>The four regions are North-West Region, Northern Adriatic Region, Slavonia, and Dalmatia, as shown in Figure 1. Their advantages form the essential pillars of a hydrogen economy, opening doors for sustainable mobility, industrial decarbonization, renewable hydrogen production, and international collaboration.</w:t>
      </w:r>
    </w:p>
    <w:p w14:paraId="2BB9CA59" w14:textId="77777777" w:rsidR="001C0F1A" w:rsidRPr="001C0F1A" w:rsidRDefault="001C0F1A" w:rsidP="001C0F1A">
      <w:pPr>
        <w:spacing w:before="0"/>
        <w:ind w:left="0" w:right="0"/>
        <w:jc w:val="right"/>
        <w:rPr>
          <w:rFonts w:asciiTheme="minorHAnsi" w:hAnsiTheme="minorHAnsi"/>
          <w:b/>
          <w:bCs/>
          <w:sz w:val="24"/>
          <w:szCs w:val="24"/>
          <w:lang w:val="en-AU" w:eastAsia="en-GB"/>
        </w:rPr>
      </w:pPr>
    </w:p>
    <w:p w14:paraId="2EB2CCFD" w14:textId="77777777" w:rsidR="001C0F1A" w:rsidRDefault="001C0F1A" w:rsidP="001C0F1A">
      <w:pPr>
        <w:spacing w:before="0"/>
        <w:ind w:left="0" w:right="0"/>
        <w:jc w:val="right"/>
        <w:rPr>
          <w:rFonts w:asciiTheme="minorHAnsi" w:hAnsiTheme="minorHAnsi"/>
          <w:b/>
          <w:bCs/>
          <w:sz w:val="18"/>
          <w:szCs w:val="18"/>
          <w:lang w:val="en-AU" w:eastAsia="en-GB"/>
        </w:rPr>
      </w:pPr>
    </w:p>
    <w:p w14:paraId="64D836EE" w14:textId="77777777" w:rsidR="001C0F1A" w:rsidRDefault="001C0F1A" w:rsidP="001C0F1A">
      <w:pPr>
        <w:spacing w:before="0"/>
        <w:ind w:left="0" w:right="0"/>
        <w:jc w:val="right"/>
        <w:rPr>
          <w:rFonts w:asciiTheme="minorHAnsi" w:hAnsiTheme="minorHAnsi"/>
          <w:b/>
          <w:bCs/>
          <w:sz w:val="18"/>
          <w:szCs w:val="18"/>
          <w:lang w:val="en-AU" w:eastAsia="en-GB"/>
        </w:rPr>
      </w:pPr>
    </w:p>
    <w:p w14:paraId="47720FD3" w14:textId="77777777" w:rsidR="001C0F1A" w:rsidRDefault="001C0F1A" w:rsidP="001C0F1A">
      <w:pPr>
        <w:spacing w:before="0"/>
        <w:ind w:left="0" w:right="0"/>
        <w:jc w:val="right"/>
        <w:rPr>
          <w:rFonts w:asciiTheme="minorHAnsi" w:hAnsiTheme="minorHAnsi"/>
          <w:b/>
          <w:bCs/>
          <w:sz w:val="18"/>
          <w:szCs w:val="18"/>
          <w:lang w:val="en-AU" w:eastAsia="en-GB"/>
        </w:rPr>
      </w:pPr>
    </w:p>
    <w:p w14:paraId="7391A3A8" w14:textId="7B9569E5" w:rsidR="003E0858" w:rsidRDefault="00CF4172" w:rsidP="00B63AA4">
      <w:pPr>
        <w:pStyle w:val="Opisslike"/>
        <w:ind w:left="5672"/>
        <w:jc w:val="center"/>
        <w:rPr>
          <w:rFonts w:eastAsiaTheme="majorEastAsia"/>
          <w:lang w:val="en-AU"/>
        </w:rPr>
      </w:pPr>
      <w:bookmarkStart w:id="18" w:name="_Toc219232432"/>
      <w:r w:rsidRPr="00CF4172">
        <w:rPr>
          <w:rFonts w:asciiTheme="minorHAnsi" w:hAnsiTheme="minorHAnsi"/>
        </w:rPr>
        <w:t xml:space="preserve">Figure </w:t>
      </w:r>
      <w:r w:rsidRPr="00CF4172">
        <w:rPr>
          <w:rFonts w:asciiTheme="minorHAnsi" w:hAnsiTheme="minorHAnsi"/>
          <w:i w:val="0"/>
          <w:iCs w:val="0"/>
        </w:rPr>
        <w:fldChar w:fldCharType="begin"/>
      </w:r>
      <w:r w:rsidRPr="00CF4172">
        <w:rPr>
          <w:rFonts w:asciiTheme="minorHAnsi" w:hAnsiTheme="minorHAnsi"/>
        </w:rPr>
        <w:instrText xml:space="preserve"> SEQ Figure \* ARABIC </w:instrText>
      </w:r>
      <w:r w:rsidRPr="00CF4172">
        <w:rPr>
          <w:rFonts w:asciiTheme="minorHAnsi" w:hAnsiTheme="minorHAnsi"/>
          <w:i w:val="0"/>
          <w:iCs w:val="0"/>
        </w:rPr>
        <w:fldChar w:fldCharType="separate"/>
      </w:r>
      <w:r w:rsidR="00655C39">
        <w:rPr>
          <w:rFonts w:asciiTheme="minorHAnsi" w:hAnsiTheme="minorHAnsi"/>
          <w:noProof/>
        </w:rPr>
        <w:t>2</w:t>
      </w:r>
      <w:r w:rsidRPr="00CF4172">
        <w:rPr>
          <w:rFonts w:asciiTheme="minorHAnsi" w:hAnsiTheme="minorHAnsi"/>
          <w:i w:val="0"/>
          <w:iCs w:val="0"/>
        </w:rPr>
        <w:fldChar w:fldCharType="end"/>
      </w:r>
      <w:r w:rsidRPr="00CF4172">
        <w:rPr>
          <w:rFonts w:asciiTheme="minorHAnsi" w:hAnsiTheme="minorHAnsi"/>
        </w:rPr>
        <w:t xml:space="preserve">: </w:t>
      </w:r>
      <w:r w:rsidR="001C0F1A" w:rsidRPr="00CF4172">
        <w:rPr>
          <w:rFonts w:asciiTheme="minorHAnsi" w:hAnsiTheme="minorHAnsi"/>
          <w:lang w:val="en-AU" w:eastAsia="en-GB"/>
        </w:rPr>
        <w:t>Regions of Republic of Croatia</w:t>
      </w:r>
      <w:bookmarkEnd w:id="18"/>
    </w:p>
    <w:p w14:paraId="7B6372CB" w14:textId="77777777" w:rsidR="001C0F1A" w:rsidRPr="001C0F1A" w:rsidRDefault="001C0F1A" w:rsidP="001C0F1A">
      <w:pPr>
        <w:pBdr>
          <w:top w:val="single" w:sz="4" w:space="1" w:color="auto"/>
          <w:bottom w:val="single" w:sz="4" w:space="1" w:color="auto"/>
        </w:pBdr>
        <w:shd w:val="clear" w:color="auto" w:fill="9ACA3C" w:themeFill="accent4"/>
        <w:spacing w:before="100" w:beforeAutospacing="1"/>
        <w:ind w:left="0" w:right="0"/>
        <w:rPr>
          <w:rFonts w:asciiTheme="minorHAnsi" w:hAnsiTheme="minorHAnsi"/>
          <w:color w:val="FFFFFF" w:themeColor="background1"/>
          <w:sz w:val="24"/>
          <w:szCs w:val="24"/>
          <w:lang w:val="en-AU" w:eastAsia="en-GB"/>
        </w:rPr>
      </w:pPr>
      <w:r w:rsidRPr="001C0F1A">
        <w:rPr>
          <w:rFonts w:asciiTheme="minorHAnsi" w:hAnsiTheme="minorHAnsi"/>
          <w:color w:val="FFFFFF" w:themeColor="background1"/>
          <w:sz w:val="24"/>
          <w:szCs w:val="24"/>
          <w:lang w:val="en-AU" w:eastAsia="en-GB"/>
        </w:rPr>
        <w:t>North-West Region</w:t>
      </w:r>
    </w:p>
    <w:p w14:paraId="3137CF0E" w14:textId="77777777" w:rsidR="001C0F1A" w:rsidRPr="001C0F1A" w:rsidRDefault="001C0F1A" w:rsidP="001C0F1A">
      <w:pPr>
        <w:spacing w:before="0" w:after="100" w:afterAutospacing="1"/>
        <w:ind w:left="0" w:right="0"/>
        <w:rPr>
          <w:rFonts w:asciiTheme="minorHAnsi" w:hAnsiTheme="minorHAnsi"/>
          <w:lang w:val="en-AU" w:eastAsia="en-GB"/>
        </w:rPr>
      </w:pPr>
      <w:r w:rsidRPr="001C0F1A">
        <w:rPr>
          <w:rFonts w:asciiTheme="minorHAnsi" w:hAnsiTheme="minorHAnsi"/>
          <w:lang w:val="en-AU" w:eastAsia="en-GB"/>
        </w:rPr>
        <w:t xml:space="preserve">North-West Region, which includes Zagreb and Central Croatia, serve as the administrative, economic, and scientific centre of the country. The region hosts prominent universities, research institutions, technology hubs, and significant energy corporations, establishing it as the intellectual and organizational catalyst for the country's hydrogen transition. This region is especially well positioned for the development of hydrogen-powered mobility solutions, urban energy applications, and advanced technologies including smart </w:t>
      </w:r>
      <w:r w:rsidRPr="001C0F1A">
        <w:rPr>
          <w:rFonts w:asciiTheme="minorHAnsi" w:hAnsiTheme="minorHAnsi"/>
          <w:lang w:val="en-AU" w:eastAsia="en-GB"/>
        </w:rPr>
        <w:lastRenderedPageBreak/>
        <w:t>infrastructure and power-to-gas (P2G) systems. Research institutions, led by the University of Zagreb Faculty of Mechanical Engineering and Naval Architecture (UNIZAG FSB), serve a vital function in promoting hydrogen-related research and development (R&amp;D), fostering workforce development, and supplying scientific expertise for pilot initiatives and policy formulation. At the governance level, Zagreb’s prominent position in national planning enables it to function as the central coordinating authority for hydrogen policy, assuring coherence among regional initiatives, public institutions, industry stakeholders, and EU funding structures.</w:t>
      </w:r>
    </w:p>
    <w:p w14:paraId="450F28EC" w14:textId="77777777" w:rsidR="001C0F1A" w:rsidRPr="001C0F1A" w:rsidRDefault="001C0F1A" w:rsidP="001C0F1A">
      <w:pPr>
        <w:pBdr>
          <w:top w:val="single" w:sz="4" w:space="1" w:color="auto"/>
          <w:bottom w:val="single" w:sz="4" w:space="1" w:color="auto"/>
        </w:pBdr>
        <w:shd w:val="clear" w:color="auto" w:fill="9ACA3C" w:themeFill="accent4"/>
        <w:spacing w:before="100" w:beforeAutospacing="1"/>
        <w:ind w:left="0" w:right="0"/>
        <w:rPr>
          <w:rFonts w:asciiTheme="minorHAnsi" w:hAnsiTheme="minorHAnsi"/>
          <w:color w:val="FFFFFF" w:themeColor="background1"/>
          <w:sz w:val="24"/>
          <w:szCs w:val="24"/>
          <w:lang w:val="en-AU" w:eastAsia="en-GB"/>
        </w:rPr>
      </w:pPr>
      <w:r w:rsidRPr="001C0F1A">
        <w:rPr>
          <w:rFonts w:asciiTheme="minorHAnsi" w:hAnsiTheme="minorHAnsi"/>
          <w:color w:val="FFFFFF" w:themeColor="background1"/>
          <w:sz w:val="24"/>
          <w:szCs w:val="24"/>
          <w:lang w:val="en-AU" w:eastAsia="en-GB"/>
        </w:rPr>
        <w:t>Northern Adriatic Region</w:t>
      </w:r>
    </w:p>
    <w:p w14:paraId="71A1C198" w14:textId="77777777" w:rsidR="001C0F1A" w:rsidRPr="001C0F1A" w:rsidRDefault="001C0F1A" w:rsidP="001C0F1A">
      <w:pPr>
        <w:spacing w:before="0" w:after="100" w:afterAutospacing="1"/>
        <w:ind w:left="0" w:right="0"/>
        <w:rPr>
          <w:rFonts w:asciiTheme="minorHAnsi" w:hAnsiTheme="minorHAnsi"/>
          <w:lang w:val="en-AU" w:eastAsia="en-GB"/>
        </w:rPr>
      </w:pPr>
      <w:r w:rsidRPr="001C0F1A">
        <w:rPr>
          <w:rFonts w:asciiTheme="minorHAnsi" w:hAnsiTheme="minorHAnsi"/>
          <w:lang w:val="en-AU" w:eastAsia="en-GB"/>
        </w:rPr>
        <w:t>The Northern Adriatic Region, which includes Primorje-Gorski Kotar and Istria, provides a special combination of port infrastructure, industrial capacity, and RES potential. This area has a strong industrial base with immediate prospects for hydrogen use in petrochemicals, heavy transportation, logistics, refinery, and maritime applications. It is driven by the Rijeka refinery and the Port of Rijeka. The Port of Rijeka is well-positioned to serve as a hub for the import, export, and distribution of hydrogen due to its strategic location on the Trans-European Transport Network (TEN-T). Clean shipping routes, hydrogen-ready port equipment, and future hydrogen supply services can all be created in accordance with EU marine decarbonization regulations. Further value is added by the region's onshore and offshore wind potential, which makes it possible to expand green hydrogen production at a reasonable cost. These benefits make the Northern Adriatic Region an ideal location for industrial demonstrations, pilot hydrogen projects, and the construction of a cross-border hydrogen corridor connecting Croatia with markets in Slovenia, Italy, Austria, and Central and Southeast Europe.</w:t>
      </w:r>
    </w:p>
    <w:p w14:paraId="658CD895" w14:textId="77777777" w:rsidR="001C0F1A" w:rsidRPr="001C0F1A" w:rsidRDefault="001C0F1A" w:rsidP="001C0F1A">
      <w:pPr>
        <w:pBdr>
          <w:top w:val="single" w:sz="4" w:space="1" w:color="auto"/>
          <w:bottom w:val="single" w:sz="4" w:space="1" w:color="auto"/>
        </w:pBdr>
        <w:shd w:val="clear" w:color="auto" w:fill="9ACA3C" w:themeFill="accent4"/>
        <w:spacing w:before="100" w:beforeAutospacing="1"/>
        <w:ind w:left="0" w:right="0"/>
        <w:rPr>
          <w:rFonts w:asciiTheme="minorHAnsi" w:hAnsiTheme="minorHAnsi"/>
          <w:color w:val="FFFFFF" w:themeColor="background1"/>
          <w:sz w:val="24"/>
          <w:szCs w:val="24"/>
          <w:lang w:val="en-AU" w:eastAsia="en-GB"/>
        </w:rPr>
      </w:pPr>
      <w:r w:rsidRPr="001C0F1A">
        <w:rPr>
          <w:rFonts w:asciiTheme="minorHAnsi" w:hAnsiTheme="minorHAnsi"/>
          <w:color w:val="FFFFFF" w:themeColor="background1"/>
          <w:sz w:val="24"/>
          <w:szCs w:val="24"/>
          <w:lang w:val="en-AU" w:eastAsia="en-GB"/>
        </w:rPr>
        <w:t>Dalmatia</w:t>
      </w:r>
    </w:p>
    <w:p w14:paraId="675DA96A" w14:textId="77777777" w:rsidR="001C0F1A" w:rsidRPr="001C0F1A" w:rsidRDefault="001C0F1A" w:rsidP="001C0F1A">
      <w:pPr>
        <w:spacing w:before="0" w:after="100" w:afterAutospacing="1"/>
        <w:ind w:left="0" w:right="0"/>
        <w:rPr>
          <w:rFonts w:asciiTheme="minorHAnsi" w:hAnsiTheme="minorHAnsi"/>
          <w:lang w:val="en-AU" w:eastAsia="en-GB"/>
        </w:rPr>
      </w:pPr>
      <w:r w:rsidRPr="001C0F1A">
        <w:rPr>
          <w:rFonts w:asciiTheme="minorHAnsi" w:hAnsiTheme="minorHAnsi"/>
          <w:lang w:val="en-AU" w:eastAsia="en-GB"/>
        </w:rPr>
        <w:t>The Dalmatian region exhibits significant RES in Croatia, especially in solar and wind energy. These factors position it effectively as a significant centre for green hydrogen production via water electrolysis. Solar irradiation levels along the coast and islands are among the highest in Europe, facilitating consistent conditions for photovoltaic (PV) deployment, while strong and stable winds enhance wind farm integration. The strategic maritime infrastructure of Dalmatia, comprising the ports of Split, Zadar, and Šibenik, enhances its potential by enabling efficient hydrogen export and facilitating the utilization of hydrogen in maritime transport, port operations, and coastal logistics. The substantial tourism sector in the region is progressively focussing on sustainability, thereby generating demand for low-emission mobility solutions, including hydrogen-powered buses, ferries, and service fleets. Dalmatia's abundant RES potential, port access, and sectoral demand establish it as a pivotal region for the early large-scale hydrogen production and for promoting the decarbonization of coastal and island communities.</w:t>
      </w:r>
    </w:p>
    <w:p w14:paraId="0F3926D2" w14:textId="77777777" w:rsidR="001C0F1A" w:rsidRPr="001C0F1A" w:rsidRDefault="001C0F1A" w:rsidP="001C0F1A">
      <w:pPr>
        <w:pBdr>
          <w:top w:val="single" w:sz="4" w:space="1" w:color="auto"/>
          <w:bottom w:val="single" w:sz="4" w:space="1" w:color="auto"/>
        </w:pBdr>
        <w:shd w:val="clear" w:color="auto" w:fill="9ACA3C" w:themeFill="accent4"/>
        <w:spacing w:before="100" w:beforeAutospacing="1"/>
        <w:ind w:left="0" w:right="0"/>
        <w:rPr>
          <w:rFonts w:asciiTheme="minorHAnsi" w:hAnsiTheme="minorHAnsi"/>
          <w:color w:val="FFFFFF" w:themeColor="background1"/>
          <w:sz w:val="24"/>
          <w:szCs w:val="24"/>
          <w:lang w:val="en-AU" w:eastAsia="en-GB"/>
        </w:rPr>
      </w:pPr>
      <w:r w:rsidRPr="001C0F1A">
        <w:rPr>
          <w:rFonts w:asciiTheme="minorHAnsi" w:hAnsiTheme="minorHAnsi"/>
          <w:color w:val="FFFFFF" w:themeColor="background1"/>
          <w:sz w:val="24"/>
          <w:szCs w:val="24"/>
          <w:lang w:val="en-AU" w:eastAsia="en-GB"/>
        </w:rPr>
        <w:t>Slavonia</w:t>
      </w:r>
    </w:p>
    <w:p w14:paraId="1E92FB91" w14:textId="77777777" w:rsidR="001C0F1A" w:rsidRPr="001C0F1A" w:rsidRDefault="001C0F1A" w:rsidP="001C0F1A">
      <w:pPr>
        <w:spacing w:before="0" w:after="100" w:afterAutospacing="1"/>
        <w:ind w:left="0" w:right="0"/>
        <w:rPr>
          <w:rFonts w:asciiTheme="minorHAnsi" w:hAnsiTheme="minorHAnsi"/>
          <w:lang w:val="en-AU" w:eastAsia="en-GB"/>
        </w:rPr>
      </w:pPr>
      <w:r w:rsidRPr="001C0F1A">
        <w:rPr>
          <w:rFonts w:asciiTheme="minorHAnsi" w:hAnsiTheme="minorHAnsi"/>
          <w:lang w:val="en-AU" w:eastAsia="en-GB"/>
        </w:rPr>
        <w:t>Due to its geographical position and accessible resources, Slavonia serves as an advantageous site for the generation of green and low-carbon hydrogen, as well as for carbon capture and storage (CCS) in exhausted gas fields. The developed industrial zones in Slavonia, along with a comprehensive gas transmission network, offer the necessary physical infrastructure for hydrogen transportation via existing natural gas pipeline network, distribution, and storage. Moreover, hydrogen can facilitate the decarbonization of agro-industrial value chains, including fertilizer manufacturing, drying grains, and food processing. By advancing green and low-carbon hydrogen and integrating it into the natural gas grid, Slavonia can significantly contribute to improving national energy security and diversifying hydrogen supply sources.</w:t>
      </w:r>
    </w:p>
    <w:p w14:paraId="07C9A2C6" w14:textId="77777777" w:rsidR="001C0F1A" w:rsidRPr="001C0F1A" w:rsidRDefault="001C0F1A" w:rsidP="001C0F1A">
      <w:pPr>
        <w:pBdr>
          <w:top w:val="single" w:sz="4" w:space="1" w:color="auto"/>
          <w:bottom w:val="single" w:sz="4" w:space="1" w:color="auto"/>
        </w:pBdr>
        <w:shd w:val="clear" w:color="auto" w:fill="9ACA3C" w:themeFill="accent4"/>
        <w:spacing w:before="100" w:beforeAutospacing="1"/>
        <w:ind w:left="0" w:right="0"/>
        <w:rPr>
          <w:rFonts w:asciiTheme="minorHAnsi" w:hAnsiTheme="minorHAnsi"/>
          <w:color w:val="FFFFFF" w:themeColor="background1"/>
          <w:sz w:val="24"/>
          <w:szCs w:val="24"/>
          <w:lang w:val="en-AU" w:eastAsia="en-GB"/>
        </w:rPr>
      </w:pPr>
      <w:r w:rsidRPr="001C0F1A">
        <w:rPr>
          <w:rFonts w:asciiTheme="minorHAnsi" w:hAnsiTheme="minorHAnsi"/>
          <w:color w:val="FFFFFF" w:themeColor="background1"/>
          <w:sz w:val="24"/>
          <w:szCs w:val="24"/>
          <w:lang w:val="en-AU" w:eastAsia="en-GB"/>
        </w:rPr>
        <w:t>Integrated National Perspective</w:t>
      </w:r>
    </w:p>
    <w:p w14:paraId="2B74D143" w14:textId="2BD3F8B8" w:rsidR="00A16F2D" w:rsidRPr="00A16F2D" w:rsidRDefault="001C0F1A" w:rsidP="00B63AA4">
      <w:pPr>
        <w:spacing w:before="0" w:after="100" w:afterAutospacing="1"/>
        <w:ind w:left="0" w:right="0"/>
        <w:rPr>
          <w:rFonts w:eastAsiaTheme="majorEastAsia"/>
        </w:rPr>
      </w:pPr>
      <w:r w:rsidRPr="001C0F1A">
        <w:rPr>
          <w:rFonts w:asciiTheme="minorHAnsi" w:hAnsiTheme="minorHAnsi"/>
          <w:lang w:val="en-AU" w:eastAsia="en-GB"/>
        </w:rPr>
        <w:t xml:space="preserve">These areas build a solid and useful basis for Croatia's future hydrogen economy. Dalmatia supplies substantial RES, the Northern Adriatic presents industrial demand and maritime infrastructure, Slavonia enhances green and low hydrogen and natural gas grid integration, while North-West Region guarantees </w:t>
      </w:r>
      <w:r w:rsidRPr="001C0F1A">
        <w:rPr>
          <w:rFonts w:asciiTheme="minorHAnsi" w:hAnsiTheme="minorHAnsi"/>
          <w:lang w:val="en-AU" w:eastAsia="en-GB"/>
        </w:rPr>
        <w:lastRenderedPageBreak/>
        <w:t>scientific capacity, innovation, and national coordination. This polycentric regional model improves resilience, allocates economic advantages, and allows Croatia to engage actively in developing European hydrogen networks. Utilising the strengths of each region and promoting interregional synergies will enable Croatia to expedite its advancement towards climate neutrality, enhance energy independence, and establish itself as a leader in the hydrogen sector of Southeast Europe.</w:t>
      </w:r>
    </w:p>
    <w:p w14:paraId="5EE31556" w14:textId="4C606ECD" w:rsidR="00F20312" w:rsidRDefault="00F20312" w:rsidP="00F20312">
      <w:pPr>
        <w:pStyle w:val="CE-Headline3"/>
        <w:rPr>
          <w:rFonts w:eastAsiaTheme="majorEastAsia"/>
        </w:rPr>
      </w:pPr>
      <w:bookmarkStart w:id="19" w:name="_Toc219232402"/>
      <w:r>
        <w:rPr>
          <w:rFonts w:eastAsiaTheme="majorEastAsia"/>
        </w:rPr>
        <w:t>Nort-west region</w:t>
      </w:r>
      <w:bookmarkEnd w:id="19"/>
    </w:p>
    <w:p w14:paraId="03F3FCC5" w14:textId="2EDCAC06" w:rsidR="001C0F1A" w:rsidRDefault="00E273FB" w:rsidP="00E273FB">
      <w:pPr>
        <w:pStyle w:val="CE-TableStandard"/>
        <w:jc w:val="both"/>
        <w:rPr>
          <w:rFonts w:eastAsiaTheme="majorEastAsia"/>
          <w:sz w:val="20"/>
          <w:szCs w:val="20"/>
        </w:rPr>
      </w:pPr>
      <w:r w:rsidRPr="00E273FB">
        <w:rPr>
          <w:rFonts w:eastAsiaTheme="majorEastAsia"/>
          <w:sz w:val="20"/>
          <w:szCs w:val="20"/>
        </w:rPr>
        <w:t xml:space="preserve">The North-West Region, which includes the City of Zagreb and the counties of Krapinsko-zagorska, Varaždinska, and Međimurska, is recognized as one of the country’s most economically developed and industrially varied regions. The region's extensive transport infrastructure, robust industrial activity, and concentration of prominent scientific and research institutions establish it as a pivotal catalyst for the development, testing, and deployment of hydrogen technologies. Its geographic proximity to Austria, Slovenia, Italy and Hungary facilitates cross-border cooperation, integration into Central European hydrogen corridors, and engagement in emerging transnational energy markets. The North-West Region provides a solid basis for green hydrogen production. The consistent expansion of rooftop and ground-mounted PV systems, especially on industrial facilities, commercial establishments, and public-sector infrastructure, signifies a growing local capacity for electricity generation from RES. The region's substantial municipal waste streams, in conjunction with these resources, establish a reliable basis for decentralized and distributed hydrogen production. These production systems have the potential to provide hydrogen directly to local transport operators, industrial facilities, and logistics hubs, thereby facilitating the development of regional hydrogen microgrids and enhancing local energy resilience. The industrial profile of the region further supports its appropriateness for hydrogen adoption. In Croatia, key sectors such as chemicals, cement and construction materials, and advanced manufacturing are identified as the most energy intensive. Industries are under growing pressure to decrease greenhouse gas (GHG) emissions and may significantly benefit from the introduction of hydrogen as an energy carrier and industrial feedstock. Hydrogen-based processes present an opportunity to decarbonize high-temperature industrial operations, diminish reliance on fossil fuels, and improve long-term competitiveness in accordance with EU climate and industrial policies. Moreover, transportation constitutes a significant domain for the initial implementation of hydrogen technology. The North-West Region, particularly the broader Zagreb metropolitan area, is positioned at the convergence of significant TEN-T corridors, establishing it as a strategic site for the deployment of hydrogen-powered buses, heavy-duty trucks, and rail applications. Zagreb International Airport presents opportunity for the exploration of hydrogen applications in airport ground operations, hydrogen-based auxiliary power units, and, in the long term, sustainable aviation fuels. The introduction of hydrogen into aviation energy systems will facilitate the airport's shift to low-emission operations and comply with expected European decarbonization standards in the aviation industry. The current energy infrastructure in the region is adequately equipped to facilitate hydrogen integration. The natural gas transmission and distribution system, in conjunction with the electricity grid, establishes a basis for the future transport and distribution of hydrogen. Industrial zones located along these networks may function as initial locations for pilot projects related to hydrogen storage, grid balancing, and combined heat and power (CHP) applications. The strategic location of the North-West Region along cross-border energy routes enhances its potential to develop as a hydrogen distribution hub, supporting domestic flows and future exports to neighbouring markets. The region's research, innovation, and educational ecosystem is equally significant. Zagreb, as Croatia's primary academic centre, is home to number of universities, faculties, and research institutes that focus on energy transition issues. The UNIZAG FSB is pivotal in promoting hydrogen research, engineering education, and the advancement of innovative hydrogen technologies. These institutions promote collaboration between industry and academia, facilitate high-quality feasibility studies and simulations, and assist in the commercialization of advanced hydrogen solutions. Their participation guarantees that the region adopts hydrogen technologies and contributes to their scientific and </w:t>
      </w:r>
      <w:r w:rsidRPr="00E273FB">
        <w:rPr>
          <w:rFonts w:eastAsiaTheme="majorEastAsia"/>
          <w:sz w:val="20"/>
          <w:szCs w:val="20"/>
        </w:rPr>
        <w:lastRenderedPageBreak/>
        <w:t>technological advancement. These factors suggest that the North-West Region demonstrates significant readiness for hydrogen deployment. The robust industrial demand, developed transport infrastructure, growing RES sector, and advanced innovation ecosystem provide conducive conditions for the establishment of a regional hydrogen cluster. The region is strategically positioned to function as Croatia’s national coordination and innovation centre for hydrogen development. This role can initiate pilot and demonstration projects, evaluate new technological approaches, enhance workforce training, and reinforce connections between renewable energy generation, industrial applications, and national sustainable mobility solutions.</w:t>
      </w:r>
    </w:p>
    <w:p w14:paraId="01B2B5BB" w14:textId="77777777" w:rsidR="00E273FB" w:rsidRPr="00E273FB" w:rsidRDefault="00E273FB" w:rsidP="00E273FB">
      <w:pPr>
        <w:pStyle w:val="CE-TableStandard"/>
        <w:jc w:val="both"/>
        <w:rPr>
          <w:rFonts w:eastAsiaTheme="majorEastAsia"/>
          <w:sz w:val="20"/>
          <w:szCs w:val="20"/>
        </w:rPr>
      </w:pPr>
    </w:p>
    <w:p w14:paraId="2AE7495C" w14:textId="748975E9" w:rsidR="00F20312" w:rsidRDefault="00F20312" w:rsidP="00F20312">
      <w:pPr>
        <w:pStyle w:val="CE-Headline3"/>
        <w:rPr>
          <w:rFonts w:eastAsiaTheme="majorEastAsia"/>
        </w:rPr>
      </w:pPr>
      <w:bookmarkStart w:id="20" w:name="_Toc219232403"/>
      <w:r>
        <w:rPr>
          <w:rFonts w:eastAsiaTheme="majorEastAsia"/>
        </w:rPr>
        <w:t>Northern Adriatic</w:t>
      </w:r>
      <w:bookmarkEnd w:id="20"/>
      <w:r>
        <w:rPr>
          <w:rFonts w:eastAsiaTheme="majorEastAsia"/>
        </w:rPr>
        <w:t xml:space="preserve"> </w:t>
      </w:r>
    </w:p>
    <w:p w14:paraId="5603CC29" w14:textId="4AF3AE56" w:rsidR="00E273FB" w:rsidRDefault="005C5671" w:rsidP="005C5671">
      <w:pPr>
        <w:pStyle w:val="CE-TableStandard"/>
        <w:jc w:val="both"/>
        <w:rPr>
          <w:rFonts w:eastAsiaTheme="majorEastAsia"/>
          <w:sz w:val="20"/>
          <w:szCs w:val="20"/>
        </w:rPr>
      </w:pPr>
      <w:r w:rsidRPr="005C5671">
        <w:rPr>
          <w:rFonts w:eastAsiaTheme="majorEastAsia"/>
          <w:sz w:val="20"/>
          <w:szCs w:val="20"/>
        </w:rPr>
        <w:t xml:space="preserve">The Northern Adriatic Region, which includes the counties of Istarska and Primorsko-goranska, is a strategically significant area in Croatia for the early establishment of a hydrogen economy. The integration of a diverzified and energy-intensive industrial base, advanced maritime and port infrastructure, strong cross-border connectivity, and improving RES conditions positions it advantageously for domestic hydrogen deployment and engagement in wider European hydrogen networks. The region, located along the northern Adriatic Sea, functions as a natural channel between the Mediterranean and Central Europe, providing optimal conditions for incorporation into transnational hydrogen corridors that align with the developing European Hydrogen Backbone and EU decarbonization efforts. The energy landscape of the region is experiencing significant transformation due to the expansion of wind and solar investments, with notable potential for further offshore wind development in the Kvarner area. The spatial configuration of the coastal belt, coastal hinterland, and islands, along with favourable wind patterns and increased solar irradiation, facilitates a significant RES capacity factor. The foundation of RES, supported by increasing investment in PV systems, establishes a reliable basis for local green hydrogen production via water electrolysis. These RES sites can be effectively connected to significant industrial consumers and port facilities, facilitating the development of an integrated, self-sustaining low-carbon hydrogen ecosystem in the region. The industrial readiness of the Northern Adriatic constitutes a significant strength. The Rijeka industrial zone encompasses the Rijeka refinery, petrochemical facilities, manufacturing plants, and nearby logistics complexes, presenting immediate opportunities for hydrogen adoption in heavy industry, refining processes, and energy-intensive production chains. Hydrogen possesses the capability to substitute fossil fuels in high-temperature applications, diminish emissions in petrochemical and refinery processes, and serve as a clean feedstock for the production of synthetic fuels and chemicals. The existing infrastructure, particularly the LNG terminal on the island of Krk and the established natural gas network, offers significant technological and logistical benefits for future hydrogen transport, distribution, storage, and export, positioning the region as a pivotal energy hub. The Port of Rijeka, as Croatia's largest and most strategically significant seaport, enhances this potential. The port, as a significant node of the TEN-T, is well-positioned to serve as a hydrogen import, supply for vessels, and distribution hub. A hub of this nature would facilitate hydrogen-powered maritime transport, port machinery, and industrial operations, while also allowing for the export of hydrogen or hydrogen-derived fuels to global markets. The port's involvement in EU green corridor initiatives enhances its strategic significance, establishing it as a prospective Adriatic gateway for clean fuels and a key element in regional maritime decarbonization efforts. In addition to its established heavy industry and maritime logistics sectors, the Northern Adriatic Region presents significant potential for hydrogen integration in urban mobility and tourism transport systems. Cities like Rijeka, Pula, and other coastal municipalities may lead in the implementation of hydrogen-powered buses, municipal fleets, ferries, and service vehicles. These initiatives would significantly reduce the carbon footprint of the region's tourism sector, which is economically vital and environmentally sensitive. Local authorities, with the backing of regional development agencies and EU funding programs aimed at clean mobility and RES integration, are showing a growing interest in these solutions. The research, innovation, and knowledge ecosystem in the region facilitates the transition to hydrogen. The University of Rijeka and its associated research centres are </w:t>
      </w:r>
      <w:r w:rsidRPr="005C5671">
        <w:rPr>
          <w:rFonts w:eastAsiaTheme="majorEastAsia"/>
          <w:sz w:val="20"/>
          <w:szCs w:val="20"/>
        </w:rPr>
        <w:lastRenderedPageBreak/>
        <w:t>instrumental in promoting initiatives concerning energy transition and maritime innovation. These institutions are involved in research pertaining to port decarbonization strategies and integrated energy system modelling. Engagement in international initiatives, including Horizon Europe, Interreg, and cross-border research consortia, enhances the region's technical capabilities and ensures alignment of innovation efforts with European standards and global technological trends. The Northern Adriatic Region demonstrates significant readiness for the early implementation of hydrogen technology. The significant industrial demand, RES potential, developed transport and port infrastructure, and a strong innovation ecosystem create a suitable environment for hydrogen technologies. The region's strategic location at the intersection of Mediterranean maritime routes and Central European energy corridors positions it as Croatia’s primary hub for hydrogen production and distribution. It is also poised to significantly contribute to regional hydrogen exchanges, maritime decarbonization pathways, and the broader European clean energy transition.</w:t>
      </w:r>
    </w:p>
    <w:p w14:paraId="1BB6505A" w14:textId="77777777" w:rsidR="00F40695" w:rsidRPr="005C5671" w:rsidRDefault="00F40695" w:rsidP="005C5671">
      <w:pPr>
        <w:pStyle w:val="CE-TableStandard"/>
        <w:jc w:val="both"/>
        <w:rPr>
          <w:rFonts w:eastAsiaTheme="majorEastAsia"/>
          <w:sz w:val="20"/>
          <w:szCs w:val="20"/>
        </w:rPr>
      </w:pPr>
    </w:p>
    <w:p w14:paraId="4FAE465B" w14:textId="77777777" w:rsidR="00252C3B" w:rsidRDefault="00F20312" w:rsidP="00252C3B">
      <w:pPr>
        <w:pStyle w:val="CE-Headline2"/>
        <w:rPr>
          <w:rFonts w:eastAsiaTheme="majorEastAsia"/>
        </w:rPr>
      </w:pPr>
      <w:bookmarkStart w:id="21" w:name="_Toc219232404"/>
      <w:r>
        <w:rPr>
          <w:rFonts w:eastAsiaTheme="majorEastAsia"/>
        </w:rPr>
        <w:t xml:space="preserve">Hydrogen production </w:t>
      </w:r>
      <w:r w:rsidR="00B06250">
        <w:rPr>
          <w:rFonts w:eastAsiaTheme="majorEastAsia"/>
        </w:rPr>
        <w:t>in identified regions</w:t>
      </w:r>
      <w:bookmarkEnd w:id="21"/>
    </w:p>
    <w:p w14:paraId="076E23AF" w14:textId="75D035D6" w:rsidR="00252C3B" w:rsidRDefault="00252C3B" w:rsidP="00252C3B">
      <w:pPr>
        <w:pStyle w:val="CE-TableStandard"/>
        <w:jc w:val="both"/>
        <w:rPr>
          <w:rFonts w:eastAsiaTheme="majorEastAsia"/>
          <w:sz w:val="20"/>
          <w:szCs w:val="20"/>
        </w:rPr>
      </w:pPr>
      <w:r w:rsidRPr="00252C3B">
        <w:rPr>
          <w:rFonts w:eastAsiaTheme="majorEastAsia"/>
          <w:sz w:val="20"/>
          <w:szCs w:val="20"/>
        </w:rPr>
        <w:t>With the North-West Region and the Northern Adriatic Region emerging as the two most strategically significant sites for early and sustained hydrogen deployment, Croatia's hydrogen production environment is marked by great regional variability. They provide complementary capabilities in the areas of industrial demand, innovation capability, RES generation, and international connectivity, forming the basis of a future Croatian hydrogen economy. A strong, scalable, and resilient hydrogen production system that serves both national decarbonization objectives and integration into European hydrogen networks can be established by a concerted effort bringing these two regions together. The Northern Adriatic Region has the potential to produce renewable (green) hydrogen, whereas the North-West Region offers the intellectual resources, innovative frameworks, and varied demand essential for the integration of hydrogen into transportation, industrial applications, and urban energy systems. Establishing dedicated infrastructure, including hydrogen-compatible pipelines, hydrogen refuelling infrastructure, and integrated logistics networks, would connect these two regions and create a North–South hydrogen axis. This development would facilitate national decarbonization and enhance Croatia’s engagement in the European hydrogen market.</w:t>
      </w:r>
    </w:p>
    <w:p w14:paraId="1D745246" w14:textId="77777777" w:rsidR="00252C3B" w:rsidRPr="00252C3B" w:rsidRDefault="00252C3B" w:rsidP="00252C3B">
      <w:pPr>
        <w:pStyle w:val="CE-TableStandard"/>
        <w:jc w:val="both"/>
        <w:rPr>
          <w:rFonts w:eastAsiaTheme="majorEastAsia"/>
          <w:sz w:val="20"/>
          <w:szCs w:val="20"/>
        </w:rPr>
      </w:pPr>
    </w:p>
    <w:p w14:paraId="275B948B" w14:textId="77777777" w:rsidR="00252C3B" w:rsidRPr="00252C3B" w:rsidRDefault="00252C3B" w:rsidP="00252C3B">
      <w:pPr>
        <w:pStyle w:val="CE-Headline3"/>
        <w:numPr>
          <w:ilvl w:val="0"/>
          <w:numId w:val="0"/>
        </w:numPr>
        <w:rPr>
          <w:rFonts w:eastAsiaTheme="majorEastAsia"/>
        </w:rPr>
      </w:pPr>
      <w:bookmarkStart w:id="22" w:name="_Toc219232405"/>
      <w:r w:rsidRPr="00252C3B">
        <w:rPr>
          <w:rFonts w:eastAsiaTheme="majorEastAsia"/>
        </w:rPr>
        <w:t>3.2.1 North-West Region</w:t>
      </w:r>
      <w:bookmarkEnd w:id="22"/>
    </w:p>
    <w:p w14:paraId="7F5E5329" w14:textId="77777777" w:rsidR="00252C3B" w:rsidRDefault="00252C3B" w:rsidP="00252C3B">
      <w:pPr>
        <w:pStyle w:val="CE-TableStandard"/>
        <w:jc w:val="both"/>
        <w:rPr>
          <w:rFonts w:eastAsiaTheme="majorEastAsia"/>
          <w:sz w:val="20"/>
          <w:szCs w:val="20"/>
        </w:rPr>
      </w:pPr>
      <w:r w:rsidRPr="00252C3B">
        <w:rPr>
          <w:rFonts w:eastAsiaTheme="majorEastAsia"/>
          <w:sz w:val="20"/>
          <w:szCs w:val="20"/>
        </w:rPr>
        <w:t xml:space="preserve">The North-West Region, encompassing the City of Zagreb and the counties of Krapinsko-zagorska, Varaždinska, and Međimurska, offers a unique yet highly complementary basis for hydrogen development. The region, while having lower RES potential than the Adriatic coast, provides a solid basis for distributed green hydrogen production via water electrolysis through solar power plant installations and potential waste-to-hydrogen technologies. Rooftop PV installed on industrial, commercial, and public buildings, combined with municipal and agricultural waste streams, establish favourable conditions for small-scale and medium-scale electrolysis systems. Decentralized production units have the potential to supply hydrogen directly to urban transport operators, industrial zones, and logistics hubs, facilitating the establishment of local hydrogen microgrids that improve energy resilience. The region's varied industrial foundation offers significant prospects for substituting fossil fuels in high-temperature industrial processes and integrating hydrogen as a clean feedstock. Moreover, the North-West Region serves as an important hub for hydrogen-based mobility. Zagreb's strategic position at the convergence of key TEN-T corridors makes it an optimal location for the initial implementation of hydrogen-powered buses, heavy-duty vehicles, and rail services. Zagreb International Airport offers enhanced long-term prospects for hydrogen utilization in ground operations and sustainable aviation systems. The region's established natural gas and electricity transmission networks facilitate pilot projects related to hydrogen transportation, storage, and distribution. The proximity to Slovenia, Austria, Italy, and Hungary enhances its role in cross-border hydrogen initiatives and </w:t>
      </w:r>
      <w:r w:rsidRPr="00252C3B">
        <w:rPr>
          <w:rFonts w:eastAsiaTheme="majorEastAsia"/>
          <w:sz w:val="20"/>
          <w:szCs w:val="20"/>
        </w:rPr>
        <w:lastRenderedPageBreak/>
        <w:t xml:space="preserve">future pipeline connectivity. The North-West Region serves as Croatia's primary hub for research, innovation, and technology having institutions that lead the national hydrogen research initiatives and promote technological innovation, system integration, modelling, and workforce development. The region is uniquely positioned to function as the National hydrogen centre of excellence, coordinating technological development, testing new systems, and facilitating collaboration between industry and academia. </w:t>
      </w:r>
    </w:p>
    <w:p w14:paraId="117AA457" w14:textId="77777777" w:rsidR="00252C3B" w:rsidRPr="00252C3B" w:rsidRDefault="00252C3B" w:rsidP="00252C3B">
      <w:pPr>
        <w:pStyle w:val="CE-TableStandard"/>
        <w:jc w:val="both"/>
        <w:rPr>
          <w:rFonts w:eastAsiaTheme="majorEastAsia"/>
          <w:sz w:val="20"/>
          <w:szCs w:val="20"/>
        </w:rPr>
      </w:pPr>
    </w:p>
    <w:p w14:paraId="60A954B6" w14:textId="77777777" w:rsidR="00252C3B" w:rsidRPr="00252C3B" w:rsidRDefault="00252C3B" w:rsidP="00252C3B">
      <w:pPr>
        <w:pStyle w:val="CE-Headline3"/>
        <w:numPr>
          <w:ilvl w:val="0"/>
          <w:numId w:val="0"/>
        </w:numPr>
        <w:rPr>
          <w:rFonts w:eastAsiaTheme="majorEastAsia"/>
        </w:rPr>
      </w:pPr>
      <w:bookmarkStart w:id="23" w:name="_Toc219232406"/>
      <w:r w:rsidRPr="00252C3B">
        <w:rPr>
          <w:rFonts w:eastAsiaTheme="majorEastAsia"/>
        </w:rPr>
        <w:t>3.2.2 Northern Adriatic Region</w:t>
      </w:r>
      <w:bookmarkEnd w:id="23"/>
    </w:p>
    <w:p w14:paraId="23F3DB5E" w14:textId="5B23BE08" w:rsidR="00252C3B" w:rsidRDefault="00252C3B" w:rsidP="00252C3B">
      <w:pPr>
        <w:pStyle w:val="CE-TableStandard"/>
        <w:jc w:val="both"/>
        <w:rPr>
          <w:rFonts w:eastAsiaTheme="majorEastAsia"/>
          <w:sz w:val="20"/>
          <w:szCs w:val="20"/>
        </w:rPr>
      </w:pPr>
      <w:r w:rsidRPr="00252C3B">
        <w:rPr>
          <w:rFonts w:eastAsiaTheme="majorEastAsia"/>
          <w:sz w:val="20"/>
          <w:szCs w:val="20"/>
        </w:rPr>
        <w:t>The Northern Adriatic Region, which includes Istarska and Primorsko-goranska counties, provides optimal conditions for large-scale green hydrogen production in Croatia. The region has an expanding portfolio of solar and wind energy projects, with significant potential for offshore wind development in the Kvarner area. These conditions facilitate a stable RES basis that can effectively power high capacity electrolyzers with reduced intermittency. Proposed RES installations in Istria and Kvarner may be directly associated with electrolysis power plants, facilitating closely integrated renewable–hydrogen systems and minimizing transmission losses. The region contains a concentration of strategic industrial and logistics assets that create immediate demand for hydrogen and facilitate rapid commercialization opportunities. The Rijeka refinery, LNG terminal on the island of Krk, and Port of Rijeka constitute an integrated industrial ecosystem capable of accommodating substantial quantities of green hydrogen for applications in industrial processes, refinery operations, and synthetic fuel manufacturing. The LNG terminal offers significant potential for future hydrogen transportation, storage, and export, establishing the region as a key component in the developing European Hydrogen Backbone. The Port of Rijeka's pivotal position within the TEN-T corridor network positions it as a prime candidate for a hydrogen import, supply, and distribution hub in the maritime sector. Hydrogen-powered port machinery, fuel-cell ferries, and hydrogen-fuelled auxiliary systems can facilitate initial emissions reductions and serve as models for maritime decarbonization in the Adriatic region. The integration into EU green shipping corridor initiatives enhances the region's significance as a transnational clean-fuel hub linking the Mediterranean and Central Europe. In addition to its heavy industry and shipping sectors, the Northern Adriatic possesses significant potential for hydrogen-enabled mobility. Urban centres like Rijeka and Pula have the potential to lead in the implementation of hydrogen-powered buses, municipal vehicles, and coastal ferries, thereby contributing to decarbonization and energy independence in a tourism-dependent region. Local governments, with the support of EU programs, are actively investigating the introduction of hydrogen in clean mobility and the integration of RES projects. The research and innovation ecosystem in the region, spearheaded by the University of Rijeka and its affiliated institutes, enhances its ability to adopt and scale hydrogen technologies. Regional research and development initiatives in energy systems modelling, maritime decarbonization, and hydrogen applications align with industrial capabilities, facilitating simultaneous advancement in innovation and deployment.</w:t>
      </w:r>
    </w:p>
    <w:p w14:paraId="26512582" w14:textId="77777777" w:rsidR="00252C3B" w:rsidRPr="00252C3B" w:rsidRDefault="00252C3B" w:rsidP="00252C3B">
      <w:pPr>
        <w:pStyle w:val="CE-TableStandard"/>
        <w:jc w:val="both"/>
        <w:rPr>
          <w:rFonts w:eastAsiaTheme="majorEastAsia"/>
          <w:sz w:val="20"/>
          <w:szCs w:val="20"/>
        </w:rPr>
      </w:pPr>
    </w:p>
    <w:p w14:paraId="72E729DB" w14:textId="1645AB77" w:rsidR="00B06250" w:rsidRDefault="00B06250" w:rsidP="00F20312">
      <w:pPr>
        <w:pStyle w:val="CE-Headline2"/>
        <w:rPr>
          <w:rFonts w:eastAsiaTheme="majorEastAsia"/>
        </w:rPr>
      </w:pPr>
      <w:bookmarkStart w:id="24" w:name="_Toc219232407"/>
      <w:r>
        <w:rPr>
          <w:rFonts w:eastAsiaTheme="majorEastAsia"/>
        </w:rPr>
        <w:t xml:space="preserve">Potential uses of </w:t>
      </w:r>
      <w:r w:rsidR="00A44A4F">
        <w:rPr>
          <w:rFonts w:eastAsiaTheme="majorEastAsia"/>
        </w:rPr>
        <w:t>H</w:t>
      </w:r>
      <w:r>
        <w:rPr>
          <w:rFonts w:eastAsiaTheme="majorEastAsia"/>
        </w:rPr>
        <w:t>ydrogen in identified regions</w:t>
      </w:r>
      <w:bookmarkEnd w:id="24"/>
    </w:p>
    <w:p w14:paraId="1C016071" w14:textId="3133B912" w:rsidR="00BA551E" w:rsidRDefault="00A61483" w:rsidP="00A61483">
      <w:pPr>
        <w:pStyle w:val="CE-TableStandard"/>
        <w:jc w:val="both"/>
        <w:rPr>
          <w:rFonts w:eastAsiaTheme="majorEastAsia"/>
          <w:sz w:val="20"/>
          <w:szCs w:val="20"/>
        </w:rPr>
      </w:pPr>
      <w:r w:rsidRPr="00A61483">
        <w:rPr>
          <w:rFonts w:eastAsiaTheme="majorEastAsia"/>
          <w:sz w:val="20"/>
          <w:szCs w:val="20"/>
        </w:rPr>
        <w:t xml:space="preserve">In Croatia, the possible uses of hydrogen vary a lot from one region to another. This is because different regions have different industrial structures, energy systems, levels of infrastructure development, and research abilities. The North-West Region and the Northern Adriatic Region are the most advanced and well-placed for early hydrogen deployment. The main factors that support Croatia's new hydrogen economy are its industry demand, its access to RES, its innovation ecosystems, and its ability to connect with other countries. The North-West Region and the Northern Adriatic Region form the backbone of Croatia's hydrogen economy. The Northern Adriatic has the potential to produce significant amounts of renewable hydrogen using coastal and offshore resources, whereas the North-West Region provides innovation capabilities, urban demand, industrial testing environments, and strategic transport connectivity. Enhancing infrastructure connections among these regions via hydrogen-ready pipelines, refuelling corridors, multimodal transport </w:t>
      </w:r>
      <w:r w:rsidRPr="00A61483">
        <w:rPr>
          <w:rFonts w:eastAsiaTheme="majorEastAsia"/>
          <w:sz w:val="20"/>
          <w:szCs w:val="20"/>
        </w:rPr>
        <w:lastRenderedPageBreak/>
        <w:t>hubs, and coordinated logistics would establish a North–South Hydrogen Hub. This hub would link production sites with consumption centres and facilitate the transfer of knowledge, technology, and expertise throughout the national hydrogen ecosystem. This interregional partnership has the potential to develop into a multi-regional hydrogen corridor, establishing Croatia as a significant participant in the Central and Southeast European hydrogen sector. This corridor would enable extensive decarbonization of transport, heavy industry, and urban energy systems, while incorporating Croatia into trans-European hydrogen networks and improving national energy security.</w:t>
      </w:r>
    </w:p>
    <w:p w14:paraId="30FD9D22" w14:textId="77777777" w:rsidR="00FF59A7" w:rsidRPr="00A61483" w:rsidRDefault="00FF59A7" w:rsidP="00B63AA4">
      <w:pPr>
        <w:pStyle w:val="CE-TableStandard"/>
        <w:jc w:val="both"/>
        <w:rPr>
          <w:rFonts w:eastAsiaTheme="majorEastAsia"/>
        </w:rPr>
      </w:pPr>
    </w:p>
    <w:p w14:paraId="64116082" w14:textId="77777777" w:rsidR="00A61483" w:rsidRPr="00A61483" w:rsidRDefault="00A61483" w:rsidP="00FF59A7">
      <w:pPr>
        <w:pStyle w:val="CE-Headline3"/>
        <w:numPr>
          <w:ilvl w:val="0"/>
          <w:numId w:val="0"/>
        </w:numPr>
        <w:rPr>
          <w:rFonts w:eastAsiaTheme="majorEastAsia"/>
        </w:rPr>
      </w:pPr>
      <w:bookmarkStart w:id="25" w:name="_Toc219232408"/>
      <w:r w:rsidRPr="00A61483">
        <w:rPr>
          <w:rFonts w:eastAsiaTheme="majorEastAsia"/>
        </w:rPr>
        <w:t>3.3.1 North-West Region</w:t>
      </w:r>
      <w:bookmarkEnd w:id="25"/>
    </w:p>
    <w:p w14:paraId="09B03585" w14:textId="77777777" w:rsidR="00A61483" w:rsidRDefault="00A61483" w:rsidP="00FF59A7">
      <w:pPr>
        <w:pStyle w:val="CE-StandardText"/>
        <w:rPr>
          <w:rFonts w:eastAsiaTheme="majorEastAsia"/>
        </w:rPr>
      </w:pPr>
      <w:r w:rsidRPr="00FF59A7">
        <w:rPr>
          <w:rFonts w:eastAsiaTheme="majorEastAsia"/>
        </w:rPr>
        <w:t>The North-West Region offers significant opportunities for hydrogen utilization, attributed to its diverse industrial base, comprehensive transport infrastructure, and advanced research and educational ecosystem. The transport sector is identified as a particularly promising application area. The region's extensive motorway network, significant logistics centres, and well-developed public transport systems make it a suitable site for the implementation of hydrogen-powered buses, heavy-duty vehicles, and potentially rail services. Establishing early hydrogen infrastructure in and around Zagreb, especially along TEN-T corridors, would enhance passenger and freight mobility while significantly decreasing emissions from urban and intercity transport. Hydrogen mobility may facilitate public-sector decarbonization by providing clean fuel for municipal and regional service fleets. Hydrogen presents potential for substituting fossil fuels in energy-intensive processes necessitating elevated temperatures, particularly in chemical production within the industrial sector. Hydrogen demonstrates significant potential in urban energy systems, especially within the modernizing district heating network of Zagreb. Integrating hydrogen with natural gas to a concentration of 100% has the potential to decrease emissions while optimizing the use of current infrastructure. The integration of advancements in P2P technologies could establish the North-West Region as a model for urban hydrogen energy systems in Central and Southeast Europe, thereby enhancing circular economy principles and facilitating pathways towards renewable hydrogen production. The region's function as a leader in innovation and demonstration is of significant importance. The North-West Region, characterized by a robust presence of research institutions, is positioned to lead in the development and validation of hydrogen technologies. Investigations into smart grids, P2P systems, microgrids, and renewable configurations facilitate pilot projects that examine hydrogen's function in grid balancing, seasonal energy storage, and system flexibility.</w:t>
      </w:r>
    </w:p>
    <w:p w14:paraId="3D486A86" w14:textId="77777777" w:rsidR="00FF59A7" w:rsidRDefault="00FF59A7" w:rsidP="00B63AA4">
      <w:pPr>
        <w:spacing w:before="0" w:line="240" w:lineRule="auto"/>
        <w:ind w:left="0" w:right="0"/>
        <w:jc w:val="left"/>
        <w:rPr>
          <w:rFonts w:eastAsiaTheme="majorEastAsia"/>
        </w:rPr>
      </w:pPr>
    </w:p>
    <w:p w14:paraId="4801DE12" w14:textId="77777777" w:rsidR="00A61483" w:rsidRPr="00FF59A7" w:rsidRDefault="00A61483" w:rsidP="00FF59A7">
      <w:pPr>
        <w:pStyle w:val="CE-Headline3"/>
        <w:numPr>
          <w:ilvl w:val="0"/>
          <w:numId w:val="0"/>
        </w:numPr>
        <w:rPr>
          <w:rFonts w:eastAsiaTheme="majorEastAsia"/>
        </w:rPr>
      </w:pPr>
      <w:bookmarkStart w:id="26" w:name="_Toc219232409"/>
      <w:r w:rsidRPr="00FF59A7">
        <w:rPr>
          <w:rFonts w:eastAsiaTheme="majorEastAsia"/>
        </w:rPr>
        <w:t>3.3.2 Northern Adriatic Region</w:t>
      </w:r>
      <w:bookmarkEnd w:id="26"/>
    </w:p>
    <w:p w14:paraId="16C653D6" w14:textId="0AB13F92" w:rsidR="00A61483" w:rsidRDefault="00A61483" w:rsidP="00FF59A7">
      <w:pPr>
        <w:pStyle w:val="CE-StandardText"/>
        <w:rPr>
          <w:rFonts w:eastAsiaTheme="majorEastAsia"/>
        </w:rPr>
      </w:pPr>
      <w:r w:rsidRPr="00A61483">
        <w:rPr>
          <w:rFonts w:eastAsiaTheme="majorEastAsia"/>
        </w:rPr>
        <w:t xml:space="preserve">The Northern Adriatic Region, which includes Istarska and Primorsko-goranska counties, provides a significant foundation in Croatia for the swift adoption of hydrogen technology, due to its strong industrial base, notable RES potential, and strategic port infrastructure. The Port of Rijeka serves as the country's busiest maritime gateway and a vital component of the TEN-T corridor. With suitable investments, the port has the potential to develop into a hub for hydrogen import, storage, and distribution, serving both domestic consumers and international shipping routes. Hydrogen-powered cargo handling equipment, fuel-cell ferries, and maritime auxiliary systems will facilitate the EU's goals for creating green maritime corridors in the Adriatic region. The Rijeka refinery and adjacent petrochemical facilities represent the primary demand centre for hydrogen in the industrial sector. The gradual replacement of grey hydrogen with green hydrogen would substantially aid in meeting both European and national decarbonization goals. The LNG terminal on the island of Krk enhances strategic value by potentially facilitating the import and export of hydrogen and hydrogen carriers, including ammonia and methanol. This development reinforces Croatia's position as a regional energy transit hub connecting the Mediterranean with Central and Southeast Europe. The extensive coastline and numerous islands in the region provide advantageous conditions for the implementation of hydrogen-powered ferries, buses, municipal vehicles, and coastal distribution fleets. The elevated energy demand driven by tourism and significant seasonal variability in RES necessitate enhanced balancing </w:t>
      </w:r>
      <w:r w:rsidRPr="00A61483">
        <w:rPr>
          <w:rFonts w:eastAsiaTheme="majorEastAsia"/>
        </w:rPr>
        <w:lastRenderedPageBreak/>
        <w:t>solutions. Hydrogen storage, whether seasonal or short-term, has the potential to stabilize the grid and guarantee energy availability during peak tourism periods. Ongoing research in maritime decarbonization, port electrification, and integrated energy systems facilitates the creation of hydrogen solutions that are customised to meet local requirements. Regional development agencies and EU-funded programs that emphasise green ports, clean mobility, and RES integration enhance the region's ability to translate innovation into practical applications.</w:t>
      </w:r>
    </w:p>
    <w:p w14:paraId="2AC963DD" w14:textId="77777777" w:rsidR="00FF59A7" w:rsidRDefault="00FF59A7" w:rsidP="00FF59A7">
      <w:pPr>
        <w:pStyle w:val="CE-StandardText"/>
        <w:rPr>
          <w:rFonts w:eastAsiaTheme="majorEastAsia"/>
        </w:rPr>
      </w:pPr>
    </w:p>
    <w:p w14:paraId="5BC20015" w14:textId="02556EE8" w:rsidR="00B06250" w:rsidRPr="00B411FE" w:rsidRDefault="00B06250" w:rsidP="00F20312">
      <w:pPr>
        <w:pStyle w:val="CE-Headline2"/>
        <w:rPr>
          <w:rFonts w:eastAsiaTheme="majorEastAsia"/>
        </w:rPr>
      </w:pPr>
      <w:bookmarkStart w:id="27" w:name="_Toc219232410"/>
      <w:r>
        <w:t xml:space="preserve">Action Plan for leveraging existing infrastructure and expanding </w:t>
      </w:r>
      <w:r w:rsidR="00A44A4F">
        <w:t>H</w:t>
      </w:r>
      <w:r>
        <w:t>ydrogen networks</w:t>
      </w:r>
      <w:bookmarkEnd w:id="27"/>
    </w:p>
    <w:p w14:paraId="4D525A5F" w14:textId="77777777" w:rsidR="00B411FE" w:rsidRPr="00B411FE" w:rsidRDefault="00B411FE" w:rsidP="00B411FE">
      <w:pPr>
        <w:pStyle w:val="StandardWeb"/>
        <w:spacing w:line="276" w:lineRule="auto"/>
        <w:ind w:left="0"/>
        <w:rPr>
          <w:rFonts w:asciiTheme="minorHAnsi" w:eastAsia="Times New Roman" w:hAnsiTheme="minorHAnsi"/>
          <w:color w:val="000000"/>
          <w:sz w:val="20"/>
          <w:szCs w:val="20"/>
          <w:lang w:eastAsia="en-GB"/>
        </w:rPr>
      </w:pPr>
      <w:r w:rsidRPr="00B411FE">
        <w:rPr>
          <w:rFonts w:asciiTheme="minorHAnsi" w:eastAsia="Times New Roman" w:hAnsiTheme="minorHAnsi"/>
          <w:color w:val="000000"/>
          <w:sz w:val="20"/>
          <w:szCs w:val="20"/>
          <w:lang w:eastAsia="en-GB"/>
        </w:rPr>
        <w:t xml:space="preserve">Building Croatia’s </w:t>
      </w:r>
      <w:r w:rsidRPr="00B411FE">
        <w:rPr>
          <w:rFonts w:asciiTheme="minorHAnsi" w:eastAsia="Times New Roman" w:hAnsiTheme="minorHAnsi"/>
          <w:color w:val="000000"/>
          <w:sz w:val="20"/>
          <w:szCs w:val="20"/>
          <w:lang w:val="hr-HR" w:eastAsia="en-GB"/>
        </w:rPr>
        <w:t>h</w:t>
      </w:r>
      <w:r w:rsidRPr="00B411FE">
        <w:rPr>
          <w:rFonts w:asciiTheme="minorHAnsi" w:eastAsia="Times New Roman" w:hAnsiTheme="minorHAnsi"/>
          <w:color w:val="000000"/>
          <w:sz w:val="20"/>
          <w:szCs w:val="20"/>
          <w:lang w:eastAsia="en-GB"/>
        </w:rPr>
        <w:t xml:space="preserve">ydrogen </w:t>
      </w:r>
      <w:r w:rsidRPr="00B411FE">
        <w:rPr>
          <w:rFonts w:asciiTheme="minorHAnsi" w:eastAsia="Times New Roman" w:hAnsiTheme="minorHAnsi"/>
          <w:color w:val="000000"/>
          <w:sz w:val="20"/>
          <w:szCs w:val="20"/>
          <w:lang w:val="hr-HR" w:eastAsia="en-GB"/>
        </w:rPr>
        <w:t>e</w:t>
      </w:r>
      <w:r w:rsidRPr="00B411FE">
        <w:rPr>
          <w:rFonts w:asciiTheme="minorHAnsi" w:eastAsia="Times New Roman" w:hAnsiTheme="minorHAnsi"/>
          <w:color w:val="000000"/>
          <w:sz w:val="20"/>
          <w:szCs w:val="20"/>
          <w:lang w:eastAsia="en-GB"/>
        </w:rPr>
        <w:t xml:space="preserve">conomy involves more than just increasing </w:t>
      </w:r>
      <w:r w:rsidRPr="00B411FE">
        <w:rPr>
          <w:rFonts w:asciiTheme="minorHAnsi" w:eastAsia="Times New Roman" w:hAnsiTheme="minorHAnsi"/>
          <w:color w:val="000000"/>
          <w:sz w:val="20"/>
          <w:szCs w:val="20"/>
          <w:lang w:val="hr-HR" w:eastAsia="en-GB"/>
        </w:rPr>
        <w:t>energy production from RES. I</w:t>
      </w:r>
      <w:r w:rsidRPr="00B411FE">
        <w:rPr>
          <w:rFonts w:asciiTheme="minorHAnsi" w:eastAsia="Times New Roman" w:hAnsiTheme="minorHAnsi"/>
          <w:color w:val="000000"/>
          <w:sz w:val="20"/>
          <w:szCs w:val="20"/>
          <w:lang w:eastAsia="en-GB"/>
        </w:rPr>
        <w:t xml:space="preserve">t also relies on the </w:t>
      </w:r>
      <w:r w:rsidRPr="00B411FE">
        <w:rPr>
          <w:rFonts w:asciiTheme="minorHAnsi" w:eastAsia="Times New Roman" w:hAnsiTheme="minorHAnsi"/>
          <w:color w:val="000000"/>
          <w:sz w:val="20"/>
          <w:szCs w:val="20"/>
          <w:lang w:val="hr-HR" w:eastAsia="en-GB"/>
        </w:rPr>
        <w:t>country</w:t>
      </w:r>
      <w:r w:rsidRPr="00B411FE">
        <w:rPr>
          <w:rFonts w:asciiTheme="minorHAnsi" w:eastAsia="Times New Roman" w:hAnsiTheme="minorHAnsi"/>
          <w:color w:val="000000"/>
          <w:sz w:val="20"/>
          <w:szCs w:val="20"/>
          <w:lang w:eastAsia="en-GB"/>
        </w:rPr>
        <w:t>’s ability to utili</w:t>
      </w:r>
      <w:r w:rsidRPr="00B411FE">
        <w:rPr>
          <w:rFonts w:asciiTheme="minorHAnsi" w:eastAsia="Times New Roman" w:hAnsiTheme="minorHAnsi"/>
          <w:color w:val="000000"/>
          <w:sz w:val="20"/>
          <w:szCs w:val="20"/>
          <w:lang w:val="hr-HR" w:eastAsia="en-GB"/>
        </w:rPr>
        <w:t>z</w:t>
      </w:r>
      <w:r w:rsidRPr="00B411FE">
        <w:rPr>
          <w:rFonts w:asciiTheme="minorHAnsi" w:eastAsia="Times New Roman" w:hAnsiTheme="minorHAnsi"/>
          <w:color w:val="000000"/>
          <w:sz w:val="20"/>
          <w:szCs w:val="20"/>
          <w:lang w:eastAsia="en-GB"/>
        </w:rPr>
        <w:t>e current infrastructure and to strategically enhance hydrogen networks throughout essential areas. Croatia enjoys a robust network of natural gas pipelines, electricity transmission systems, industrial facilities, transport corridors, and port infrastructure. By making suitable adjustments, these assets can be adapted to facilitate the production, storage, and distribution of hydrogen. This section outlines a step-by-step action plan aimed at expediting the creation of a national hydrogen network, specifically targeting the North-West Region and the Northern Adriatic Region, which serve as the strategic gateways for Croatia’s hydrogen transition.</w:t>
      </w:r>
    </w:p>
    <w:p w14:paraId="6B61D2D7" w14:textId="77777777" w:rsidR="00B411FE" w:rsidRPr="00E36450" w:rsidRDefault="00B411FE" w:rsidP="00B411FE">
      <w:pPr>
        <w:pStyle w:val="StandardWeb"/>
        <w:pBdr>
          <w:top w:val="single" w:sz="4" w:space="1" w:color="auto"/>
          <w:bottom w:val="single" w:sz="4" w:space="1" w:color="auto"/>
        </w:pBdr>
        <w:shd w:val="clear" w:color="auto" w:fill="9ACA3C" w:themeFill="accent4"/>
        <w:spacing w:after="0" w:afterAutospacing="0" w:line="276" w:lineRule="auto"/>
        <w:ind w:left="0"/>
        <w:rPr>
          <w:rFonts w:asciiTheme="minorHAnsi" w:eastAsia="Times New Roman" w:hAnsiTheme="minorHAnsi"/>
          <w:color w:val="FFFFFF" w:themeColor="background1"/>
          <w:lang w:eastAsia="en-GB"/>
        </w:rPr>
      </w:pPr>
      <w:r w:rsidRPr="00E36450">
        <w:rPr>
          <w:rFonts w:asciiTheme="minorHAnsi" w:eastAsia="Times New Roman" w:hAnsiTheme="minorHAnsi"/>
          <w:color w:val="FFFFFF" w:themeColor="background1"/>
          <w:lang w:eastAsia="en-GB"/>
        </w:rPr>
        <w:t>Phase 1</w:t>
      </w:r>
      <w:r w:rsidRPr="00E36450">
        <w:rPr>
          <w:rFonts w:asciiTheme="minorHAnsi" w:eastAsia="Times New Roman" w:hAnsiTheme="minorHAnsi"/>
          <w:color w:val="FFFFFF" w:themeColor="background1"/>
          <w:lang w:val="hr-HR" w:eastAsia="en-GB"/>
        </w:rPr>
        <w:t xml:space="preserve"> (2026-2028)</w:t>
      </w:r>
      <w:r w:rsidRPr="00E36450">
        <w:rPr>
          <w:rFonts w:asciiTheme="minorHAnsi" w:eastAsia="Times New Roman" w:hAnsiTheme="minorHAnsi"/>
          <w:color w:val="FFFFFF" w:themeColor="background1"/>
          <w:lang w:eastAsia="en-GB"/>
        </w:rPr>
        <w:t xml:space="preserve">: </w:t>
      </w:r>
      <w:r w:rsidRPr="00AB501F">
        <w:rPr>
          <w:rFonts w:asciiTheme="minorHAnsi" w:eastAsia="Times New Roman" w:hAnsiTheme="minorHAnsi"/>
          <w:color w:val="FFFFFF" w:themeColor="background1"/>
          <w:lang w:eastAsia="en-GB"/>
        </w:rPr>
        <w:t>Evaluating and Modifying Existing Infrastructure</w:t>
      </w:r>
    </w:p>
    <w:p w14:paraId="22E26443" w14:textId="77777777" w:rsidR="00B411FE" w:rsidRPr="00B411FE" w:rsidRDefault="00B411FE" w:rsidP="00B411FE">
      <w:pPr>
        <w:pStyle w:val="StandardWeb"/>
        <w:spacing w:before="0" w:beforeAutospacing="0" w:line="276" w:lineRule="auto"/>
        <w:ind w:left="0"/>
        <w:rPr>
          <w:rFonts w:asciiTheme="minorHAnsi" w:eastAsia="Times New Roman" w:hAnsiTheme="minorHAnsi"/>
          <w:color w:val="000000"/>
          <w:sz w:val="20"/>
          <w:szCs w:val="20"/>
          <w:lang w:eastAsia="en-GB"/>
        </w:rPr>
      </w:pPr>
      <w:r w:rsidRPr="003A0219">
        <w:rPr>
          <w:rFonts w:asciiTheme="minorHAnsi" w:eastAsia="Times New Roman" w:hAnsiTheme="minorHAnsi"/>
          <w:color w:val="000000"/>
          <w:lang w:eastAsia="en-GB"/>
        </w:rPr>
        <w:t>T</w:t>
      </w:r>
      <w:r w:rsidRPr="00B411FE">
        <w:rPr>
          <w:rFonts w:asciiTheme="minorHAnsi" w:eastAsia="Times New Roman" w:hAnsiTheme="minorHAnsi"/>
          <w:color w:val="000000"/>
          <w:sz w:val="20"/>
          <w:szCs w:val="20"/>
          <w:lang w:eastAsia="en-GB"/>
        </w:rPr>
        <w:t xml:space="preserve">he initial phase emphasises a thorough evaluation and enhancement of Croatia's existing energy and industrial infrastructure suitable for hydrogen applications. This encompasses: </w:t>
      </w:r>
      <w:r w:rsidRPr="00B411FE">
        <w:rPr>
          <w:rFonts w:asciiTheme="minorHAnsi" w:eastAsia="Times New Roman" w:hAnsiTheme="minorHAnsi"/>
          <w:b/>
          <w:bCs/>
          <w:color w:val="000000"/>
          <w:sz w:val="20"/>
          <w:szCs w:val="20"/>
          <w:lang w:eastAsia="en-GB"/>
        </w:rPr>
        <w:t xml:space="preserve">1. </w:t>
      </w:r>
      <w:r w:rsidRPr="00B411FE">
        <w:rPr>
          <w:rFonts w:asciiTheme="minorHAnsi" w:eastAsia="Times New Roman" w:hAnsiTheme="minorHAnsi"/>
          <w:color w:val="000000"/>
          <w:sz w:val="20"/>
          <w:szCs w:val="20"/>
          <w:lang w:val="hr-HR" w:eastAsia="en-GB"/>
        </w:rPr>
        <w:t>R</w:t>
      </w:r>
      <w:r w:rsidRPr="00B411FE">
        <w:rPr>
          <w:rFonts w:asciiTheme="minorHAnsi" w:eastAsia="Times New Roman" w:hAnsiTheme="minorHAnsi"/>
          <w:color w:val="000000"/>
          <w:sz w:val="20"/>
          <w:szCs w:val="20"/>
          <w:lang w:eastAsia="en-GB"/>
        </w:rPr>
        <w:t xml:space="preserve">epurposing sections of the natural gas transmission and distribution network for hydrogen </w:t>
      </w:r>
      <w:r w:rsidRPr="00B411FE">
        <w:rPr>
          <w:rFonts w:asciiTheme="minorHAnsi" w:eastAsia="Times New Roman" w:hAnsiTheme="minorHAnsi"/>
          <w:color w:val="000000"/>
          <w:sz w:val="20"/>
          <w:szCs w:val="20"/>
          <w:lang w:val="hr-HR" w:eastAsia="en-GB"/>
        </w:rPr>
        <w:t>transportation</w:t>
      </w:r>
      <w:r w:rsidRPr="00B411FE">
        <w:rPr>
          <w:rFonts w:asciiTheme="minorHAnsi" w:eastAsia="Times New Roman" w:hAnsiTheme="minorHAnsi"/>
          <w:color w:val="000000"/>
          <w:sz w:val="20"/>
          <w:szCs w:val="20"/>
          <w:lang w:eastAsia="en-GB"/>
        </w:rPr>
        <w:t xml:space="preserve">; </w:t>
      </w:r>
      <w:r w:rsidRPr="00B411FE">
        <w:rPr>
          <w:rFonts w:asciiTheme="minorHAnsi" w:eastAsia="Times New Roman" w:hAnsiTheme="minorHAnsi"/>
          <w:b/>
          <w:bCs/>
          <w:color w:val="000000"/>
          <w:sz w:val="20"/>
          <w:szCs w:val="20"/>
          <w:lang w:eastAsia="en-GB"/>
        </w:rPr>
        <w:t>2.</w:t>
      </w:r>
      <w:r w:rsidRPr="00B411FE">
        <w:rPr>
          <w:rFonts w:asciiTheme="minorHAnsi" w:eastAsia="Times New Roman" w:hAnsiTheme="minorHAnsi"/>
          <w:color w:val="000000"/>
          <w:sz w:val="20"/>
          <w:szCs w:val="20"/>
          <w:lang w:eastAsia="en-GB"/>
        </w:rPr>
        <w:t xml:space="preserve"> </w:t>
      </w:r>
      <w:r w:rsidRPr="00B411FE">
        <w:rPr>
          <w:rFonts w:asciiTheme="minorHAnsi" w:eastAsia="Times New Roman" w:hAnsiTheme="minorHAnsi"/>
          <w:color w:val="000000"/>
          <w:sz w:val="20"/>
          <w:szCs w:val="20"/>
          <w:lang w:val="hr-HR" w:eastAsia="en-GB"/>
        </w:rPr>
        <w:t>A</w:t>
      </w:r>
      <w:r w:rsidRPr="00B411FE">
        <w:rPr>
          <w:rFonts w:asciiTheme="minorHAnsi" w:eastAsia="Times New Roman" w:hAnsiTheme="minorHAnsi"/>
          <w:color w:val="000000"/>
          <w:sz w:val="20"/>
          <w:szCs w:val="20"/>
          <w:lang w:eastAsia="en-GB"/>
        </w:rPr>
        <w:t xml:space="preserve">dapting industrial facilities for hydrogen </w:t>
      </w:r>
      <w:r w:rsidRPr="00B411FE">
        <w:rPr>
          <w:rFonts w:asciiTheme="minorHAnsi" w:eastAsia="Times New Roman" w:hAnsiTheme="minorHAnsi"/>
          <w:color w:val="000000"/>
          <w:sz w:val="20"/>
          <w:szCs w:val="20"/>
          <w:lang w:val="hr-HR" w:eastAsia="en-GB"/>
        </w:rPr>
        <w:t>introduction</w:t>
      </w:r>
      <w:r w:rsidRPr="00B411FE">
        <w:rPr>
          <w:rFonts w:asciiTheme="minorHAnsi" w:eastAsia="Times New Roman" w:hAnsiTheme="minorHAnsi"/>
          <w:color w:val="000000"/>
          <w:sz w:val="20"/>
          <w:szCs w:val="20"/>
          <w:lang w:eastAsia="en-GB"/>
        </w:rPr>
        <w:t xml:space="preserve">; and </w:t>
      </w:r>
      <w:r w:rsidRPr="00B411FE">
        <w:rPr>
          <w:rFonts w:asciiTheme="minorHAnsi" w:eastAsia="Times New Roman" w:hAnsiTheme="minorHAnsi"/>
          <w:b/>
          <w:bCs/>
          <w:color w:val="000000"/>
          <w:sz w:val="20"/>
          <w:szCs w:val="20"/>
          <w:lang w:eastAsia="en-GB"/>
        </w:rPr>
        <w:t>3.</w:t>
      </w:r>
      <w:r w:rsidRPr="00B411FE">
        <w:rPr>
          <w:rFonts w:asciiTheme="minorHAnsi" w:eastAsia="Times New Roman" w:hAnsiTheme="minorHAnsi"/>
          <w:color w:val="000000"/>
          <w:sz w:val="20"/>
          <w:szCs w:val="20"/>
          <w:lang w:eastAsia="en-GB"/>
        </w:rPr>
        <w:t xml:space="preserve"> </w:t>
      </w:r>
      <w:r w:rsidRPr="00B411FE">
        <w:rPr>
          <w:rFonts w:asciiTheme="minorHAnsi" w:eastAsia="Times New Roman" w:hAnsiTheme="minorHAnsi"/>
          <w:color w:val="000000"/>
          <w:sz w:val="20"/>
          <w:szCs w:val="20"/>
          <w:lang w:val="hr-HR" w:eastAsia="en-GB"/>
        </w:rPr>
        <w:t>L</w:t>
      </w:r>
      <w:r w:rsidRPr="00B411FE">
        <w:rPr>
          <w:rFonts w:asciiTheme="minorHAnsi" w:eastAsia="Times New Roman" w:hAnsiTheme="minorHAnsi"/>
          <w:color w:val="000000"/>
          <w:sz w:val="20"/>
          <w:szCs w:val="20"/>
          <w:lang w:eastAsia="en-GB"/>
        </w:rPr>
        <w:t>everaging existing port, logistics, and storage infrastructure to facilitate initial hydrogen handling and distribution. In the Northern Adriatic Region, it is advisable to prioriti</w:t>
      </w:r>
      <w:r w:rsidRPr="00B411FE">
        <w:rPr>
          <w:rFonts w:asciiTheme="minorHAnsi" w:eastAsia="Times New Roman" w:hAnsiTheme="minorHAnsi"/>
          <w:color w:val="000000"/>
          <w:sz w:val="20"/>
          <w:szCs w:val="20"/>
          <w:lang w:val="hr-HR" w:eastAsia="en-GB"/>
        </w:rPr>
        <w:t>z</w:t>
      </w:r>
      <w:r w:rsidRPr="00B411FE">
        <w:rPr>
          <w:rFonts w:asciiTheme="minorHAnsi" w:eastAsia="Times New Roman" w:hAnsiTheme="minorHAnsi"/>
          <w:color w:val="000000"/>
          <w:sz w:val="20"/>
          <w:szCs w:val="20"/>
          <w:lang w:eastAsia="en-GB"/>
        </w:rPr>
        <w:t>e the integration of hydrogen within the Rijeka industrial-port complex, as it presents the most significant immediate demand and logistical capabilities. The Rijeka refinery and the LNG terminal on the island of Krk present a significant opportunity for the early integration of hydrogen, encompassing refinery decarboni</w:t>
      </w:r>
      <w:r w:rsidRPr="00B411FE">
        <w:rPr>
          <w:rFonts w:asciiTheme="minorHAnsi" w:eastAsia="Times New Roman" w:hAnsiTheme="minorHAnsi"/>
          <w:color w:val="000000"/>
          <w:sz w:val="20"/>
          <w:szCs w:val="20"/>
          <w:lang w:val="hr-HR" w:eastAsia="en-GB"/>
        </w:rPr>
        <w:t>z</w:t>
      </w:r>
      <w:r w:rsidRPr="00B411FE">
        <w:rPr>
          <w:rFonts w:asciiTheme="minorHAnsi" w:eastAsia="Times New Roman" w:hAnsiTheme="minorHAnsi"/>
          <w:color w:val="000000"/>
          <w:sz w:val="20"/>
          <w:szCs w:val="20"/>
          <w:lang w:eastAsia="en-GB"/>
        </w:rPr>
        <w:t>ation, hydrogen storage, and the import and export of hydrogen and hydrogen carriers like ammonia</w:t>
      </w:r>
      <w:r w:rsidRPr="00B411FE">
        <w:rPr>
          <w:rFonts w:asciiTheme="minorHAnsi" w:eastAsia="Times New Roman" w:hAnsiTheme="minorHAnsi"/>
          <w:color w:val="000000"/>
          <w:sz w:val="20"/>
          <w:szCs w:val="20"/>
          <w:lang w:val="hr-HR" w:eastAsia="en-GB"/>
        </w:rPr>
        <w:t xml:space="preserve"> and methanol</w:t>
      </w:r>
      <w:r w:rsidRPr="00B411FE">
        <w:rPr>
          <w:rFonts w:asciiTheme="minorHAnsi" w:eastAsia="Times New Roman" w:hAnsiTheme="minorHAnsi"/>
          <w:color w:val="000000"/>
          <w:sz w:val="20"/>
          <w:szCs w:val="20"/>
          <w:lang w:eastAsia="en-GB"/>
        </w:rPr>
        <w:t>. The Port of Rijeka has the potential to function as a pilot site for hydrogen-powered port machinery and vessels, facilitated by speciali</w:t>
      </w:r>
      <w:r w:rsidRPr="00B411FE">
        <w:rPr>
          <w:rFonts w:asciiTheme="minorHAnsi" w:eastAsia="Times New Roman" w:hAnsiTheme="minorHAnsi"/>
          <w:color w:val="000000"/>
          <w:sz w:val="20"/>
          <w:szCs w:val="20"/>
          <w:lang w:val="hr-HR" w:eastAsia="en-GB"/>
        </w:rPr>
        <w:t>z</w:t>
      </w:r>
      <w:r w:rsidRPr="00B411FE">
        <w:rPr>
          <w:rFonts w:asciiTheme="minorHAnsi" w:eastAsia="Times New Roman" w:hAnsiTheme="minorHAnsi"/>
          <w:color w:val="000000"/>
          <w:sz w:val="20"/>
          <w:szCs w:val="20"/>
          <w:lang w:eastAsia="en-GB"/>
        </w:rPr>
        <w:t xml:space="preserve">ed storage tanks and </w:t>
      </w:r>
      <w:r w:rsidRPr="00B411FE">
        <w:rPr>
          <w:rFonts w:asciiTheme="minorHAnsi" w:eastAsia="Times New Roman" w:hAnsiTheme="minorHAnsi"/>
          <w:color w:val="000000"/>
          <w:sz w:val="20"/>
          <w:szCs w:val="20"/>
          <w:lang w:val="hr-HR" w:eastAsia="en-GB"/>
        </w:rPr>
        <w:t>hydrogen refuelling station (HRS)</w:t>
      </w:r>
      <w:r w:rsidRPr="00B411FE">
        <w:rPr>
          <w:rFonts w:asciiTheme="minorHAnsi" w:eastAsia="Times New Roman" w:hAnsiTheme="minorHAnsi"/>
          <w:color w:val="000000"/>
          <w:sz w:val="20"/>
          <w:szCs w:val="20"/>
          <w:lang w:eastAsia="en-GB"/>
        </w:rPr>
        <w:t xml:space="preserve">. Comprehensive mapping and technical evaluations of these assets will facilitate the identification of immediate opportunities and inform investment strategies. In the North-West Region, emphasis should be placed on the mapping of industrial </w:t>
      </w:r>
      <w:r w:rsidRPr="00B411FE">
        <w:rPr>
          <w:rFonts w:asciiTheme="minorHAnsi" w:eastAsia="Times New Roman" w:hAnsiTheme="minorHAnsi"/>
          <w:color w:val="000000"/>
          <w:sz w:val="20"/>
          <w:szCs w:val="20"/>
          <w:lang w:val="hr-HR" w:eastAsia="en-GB"/>
        </w:rPr>
        <w:t>zones</w:t>
      </w:r>
      <w:r w:rsidRPr="00B411FE">
        <w:rPr>
          <w:rFonts w:asciiTheme="minorHAnsi" w:eastAsia="Times New Roman" w:hAnsiTheme="minorHAnsi"/>
          <w:color w:val="000000"/>
          <w:sz w:val="20"/>
          <w:szCs w:val="20"/>
          <w:lang w:eastAsia="en-GB"/>
        </w:rPr>
        <w:t xml:space="preserve">, logistics hubs, and district heating systems that are conducive to early hydrogen integration. The region's comprehensive natural gas infrastructure and energy-intensive manufacturing sector position it favourably for initial hydrogen </w:t>
      </w:r>
      <w:r w:rsidRPr="00B411FE">
        <w:rPr>
          <w:rFonts w:asciiTheme="minorHAnsi" w:eastAsia="Times New Roman" w:hAnsiTheme="minorHAnsi"/>
          <w:color w:val="000000"/>
          <w:sz w:val="20"/>
          <w:szCs w:val="20"/>
          <w:lang w:val="hr-HR" w:eastAsia="en-GB"/>
        </w:rPr>
        <w:t>transportation</w:t>
      </w:r>
      <w:r w:rsidRPr="00B411FE">
        <w:rPr>
          <w:rFonts w:asciiTheme="minorHAnsi" w:eastAsia="Times New Roman" w:hAnsiTheme="minorHAnsi"/>
          <w:color w:val="000000"/>
          <w:sz w:val="20"/>
          <w:szCs w:val="20"/>
          <w:lang w:eastAsia="en-GB"/>
        </w:rPr>
        <w:t xml:space="preserve"> and the substitution of fossil fuels in combined heat and power systems. Collaboration among Plinacro, research institutions, and local governments is crucial for the development of pilot infrastructure and feasibility studies for a hydrogen distribution corridor linking Zagreb to the Adriatic coast.</w:t>
      </w:r>
    </w:p>
    <w:p w14:paraId="622D3661" w14:textId="77777777" w:rsidR="00B411FE" w:rsidRPr="00E36450" w:rsidRDefault="00B411FE" w:rsidP="00B411FE">
      <w:pPr>
        <w:pStyle w:val="StandardWeb"/>
        <w:pBdr>
          <w:top w:val="single" w:sz="4" w:space="1" w:color="auto"/>
          <w:bottom w:val="single" w:sz="4" w:space="1" w:color="auto"/>
        </w:pBdr>
        <w:shd w:val="clear" w:color="auto" w:fill="9ACA3C" w:themeFill="accent4"/>
        <w:spacing w:after="0" w:afterAutospacing="0" w:line="276" w:lineRule="auto"/>
        <w:ind w:left="0"/>
        <w:rPr>
          <w:rFonts w:asciiTheme="minorHAnsi" w:eastAsia="Times New Roman" w:hAnsiTheme="minorHAnsi"/>
          <w:color w:val="00B050"/>
          <w:lang w:eastAsia="en-GB"/>
        </w:rPr>
      </w:pPr>
      <w:r w:rsidRPr="00E36450">
        <w:rPr>
          <w:rFonts w:asciiTheme="minorHAnsi" w:eastAsia="Times New Roman" w:hAnsiTheme="minorHAnsi"/>
          <w:color w:val="FFFFFF" w:themeColor="background1"/>
          <w:lang w:eastAsia="en-GB"/>
        </w:rPr>
        <w:t>Phase 2</w:t>
      </w:r>
      <w:r w:rsidRPr="00E36450">
        <w:rPr>
          <w:rFonts w:asciiTheme="minorHAnsi" w:eastAsia="Times New Roman" w:hAnsiTheme="minorHAnsi"/>
          <w:color w:val="FFFFFF" w:themeColor="background1"/>
          <w:lang w:val="hr-HR" w:eastAsia="en-GB"/>
        </w:rPr>
        <w:t xml:space="preserve"> (2028-2030):</w:t>
      </w:r>
      <w:r w:rsidRPr="00E36450">
        <w:rPr>
          <w:rFonts w:asciiTheme="minorHAnsi" w:eastAsia="Times New Roman" w:hAnsiTheme="minorHAnsi"/>
          <w:color w:val="FFFFFF" w:themeColor="background1"/>
          <w:lang w:eastAsia="en-GB"/>
        </w:rPr>
        <w:t xml:space="preserve"> </w:t>
      </w:r>
      <w:r w:rsidRPr="00AB501F">
        <w:rPr>
          <w:rFonts w:asciiTheme="minorHAnsi" w:eastAsia="Times New Roman" w:hAnsiTheme="minorHAnsi"/>
          <w:color w:val="FFFFFF" w:themeColor="background1"/>
          <w:lang w:eastAsia="en-GB"/>
        </w:rPr>
        <w:t>Establishing Hydrogen Hubs and Transportation Networks</w:t>
      </w:r>
    </w:p>
    <w:p w14:paraId="7B8C117C" w14:textId="77777777" w:rsidR="00B411FE" w:rsidRPr="00B411FE" w:rsidRDefault="00B411FE" w:rsidP="00B411FE">
      <w:pPr>
        <w:pStyle w:val="StandardWeb"/>
        <w:spacing w:before="0" w:beforeAutospacing="0" w:line="276" w:lineRule="auto"/>
        <w:ind w:left="0"/>
        <w:rPr>
          <w:rFonts w:asciiTheme="minorHAnsi" w:eastAsia="Times New Roman" w:hAnsiTheme="minorHAnsi"/>
          <w:color w:val="000000"/>
          <w:sz w:val="20"/>
          <w:szCs w:val="20"/>
          <w:lang w:eastAsia="en-GB"/>
        </w:rPr>
      </w:pPr>
      <w:r w:rsidRPr="00B411FE">
        <w:rPr>
          <w:rFonts w:asciiTheme="minorHAnsi" w:eastAsia="Times New Roman" w:hAnsiTheme="minorHAnsi"/>
          <w:color w:val="000000"/>
          <w:sz w:val="20"/>
          <w:szCs w:val="20"/>
          <w:lang w:eastAsia="en-GB"/>
        </w:rPr>
        <w:t xml:space="preserve">The second phase seeks to establish regional hydrogen hubs and transport corridors that connect production, storage, and consumption centres. The Northern Adriatic Hydrogen Hub will be propelled by coastal </w:t>
      </w:r>
      <w:r w:rsidRPr="00B411FE">
        <w:rPr>
          <w:rFonts w:asciiTheme="minorHAnsi" w:eastAsia="Times New Roman" w:hAnsiTheme="minorHAnsi"/>
          <w:color w:val="000000"/>
          <w:sz w:val="20"/>
          <w:szCs w:val="20"/>
          <w:lang w:val="hr-HR" w:eastAsia="en-GB"/>
        </w:rPr>
        <w:t>RES</w:t>
      </w:r>
      <w:r w:rsidRPr="00B411FE">
        <w:rPr>
          <w:rFonts w:asciiTheme="minorHAnsi" w:eastAsia="Times New Roman" w:hAnsiTheme="minorHAnsi"/>
          <w:color w:val="000000"/>
          <w:sz w:val="20"/>
          <w:szCs w:val="20"/>
          <w:lang w:eastAsia="en-GB"/>
        </w:rPr>
        <w:t xml:space="preserve"> initiatives, industrial demand centres, and maritime transport applications. The North-West Hydrogen Hub will concentrate on urban and industrial applications, technological advancements, and demonstration initiatives. The foundation of Croatia's initial hydrogen network ought to be a North–South Hydrogen Corridor extending from Rijeka–Krk to Zagreb–Sisak. This corridor can initially leverage </w:t>
      </w:r>
      <w:r w:rsidRPr="00B411FE">
        <w:rPr>
          <w:rFonts w:asciiTheme="minorHAnsi" w:eastAsia="Times New Roman" w:hAnsiTheme="minorHAnsi"/>
          <w:color w:val="000000"/>
          <w:sz w:val="20"/>
          <w:szCs w:val="20"/>
          <w:lang w:eastAsia="en-GB"/>
        </w:rPr>
        <w:lastRenderedPageBreak/>
        <w:t xml:space="preserve">existing natural gas infrastructure for hydrogen </w:t>
      </w:r>
      <w:r w:rsidRPr="00B411FE">
        <w:rPr>
          <w:rFonts w:asciiTheme="minorHAnsi" w:eastAsia="Times New Roman" w:hAnsiTheme="minorHAnsi"/>
          <w:color w:val="000000"/>
          <w:sz w:val="20"/>
          <w:szCs w:val="20"/>
          <w:lang w:val="hr-HR" w:eastAsia="en-GB"/>
        </w:rPr>
        <w:t>transportation</w:t>
      </w:r>
      <w:r w:rsidRPr="00B411FE">
        <w:rPr>
          <w:rFonts w:asciiTheme="minorHAnsi" w:eastAsia="Times New Roman" w:hAnsiTheme="minorHAnsi"/>
          <w:color w:val="000000"/>
          <w:sz w:val="20"/>
          <w:szCs w:val="20"/>
          <w:lang w:eastAsia="en-GB"/>
        </w:rPr>
        <w:t xml:space="preserve">, gradually transitioning to dedicated hydrogen pipelines. A network of </w:t>
      </w:r>
      <w:r w:rsidRPr="00B411FE">
        <w:rPr>
          <w:rFonts w:asciiTheme="minorHAnsi" w:eastAsia="Times New Roman" w:hAnsiTheme="minorHAnsi"/>
          <w:color w:val="000000"/>
          <w:sz w:val="20"/>
          <w:szCs w:val="20"/>
          <w:lang w:val="hr-HR" w:eastAsia="en-GB"/>
        </w:rPr>
        <w:t>HRS</w:t>
      </w:r>
      <w:r w:rsidRPr="00B411FE">
        <w:rPr>
          <w:rFonts w:asciiTheme="minorHAnsi" w:eastAsia="Times New Roman" w:hAnsiTheme="minorHAnsi"/>
          <w:color w:val="000000"/>
          <w:sz w:val="20"/>
          <w:szCs w:val="20"/>
          <w:lang w:eastAsia="en-GB"/>
        </w:rPr>
        <w:t xml:space="preserve"> for heavy-duty vehicles would establish a continuous zero-emission mobility route along key motorways and freight corridors, particularly the A6 (Rijeka–Zagreb) and A1 highways. International interconnections should be actively explored to align with the European Hydrogen Backbone initiative. Croatia would be positioned as a strategic transit and export hub within the regional hydrogen market.</w:t>
      </w:r>
    </w:p>
    <w:p w14:paraId="4787B19D" w14:textId="77777777" w:rsidR="00B411FE" w:rsidRPr="00A0195B" w:rsidRDefault="00B411FE" w:rsidP="00B411FE">
      <w:pPr>
        <w:pStyle w:val="StandardWeb"/>
        <w:pBdr>
          <w:top w:val="single" w:sz="4" w:space="1" w:color="auto"/>
          <w:bottom w:val="single" w:sz="4" w:space="1" w:color="auto"/>
        </w:pBdr>
        <w:shd w:val="clear" w:color="auto" w:fill="9ACA3C" w:themeFill="accent4"/>
        <w:spacing w:after="0" w:afterAutospacing="0" w:line="276" w:lineRule="auto"/>
        <w:ind w:left="0"/>
        <w:rPr>
          <w:rFonts w:asciiTheme="minorHAnsi" w:eastAsia="Times New Roman" w:hAnsiTheme="minorHAnsi"/>
          <w:color w:val="FFFFFF" w:themeColor="background1"/>
          <w:lang w:eastAsia="en-GB"/>
        </w:rPr>
      </w:pPr>
      <w:r w:rsidRPr="00A0195B">
        <w:rPr>
          <w:rFonts w:asciiTheme="minorHAnsi" w:eastAsia="Times New Roman" w:hAnsiTheme="minorHAnsi"/>
          <w:color w:val="FFFFFF" w:themeColor="background1"/>
          <w:lang w:eastAsia="en-GB"/>
        </w:rPr>
        <w:t xml:space="preserve">Phase 3 (2030–2035): </w:t>
      </w:r>
      <w:r w:rsidRPr="00AB501F">
        <w:rPr>
          <w:rFonts w:asciiTheme="minorHAnsi" w:eastAsia="Times New Roman" w:hAnsiTheme="minorHAnsi"/>
          <w:color w:val="FFFFFF" w:themeColor="background1"/>
          <w:lang w:eastAsia="en-GB"/>
        </w:rPr>
        <w:t>Enhancing Infrastructure and Integrating Systems</w:t>
      </w:r>
    </w:p>
    <w:p w14:paraId="3BB5BFB5" w14:textId="77777777" w:rsidR="00B411FE" w:rsidRPr="00B411FE" w:rsidRDefault="00B411FE" w:rsidP="00B411FE">
      <w:pPr>
        <w:pStyle w:val="StandardWeb"/>
        <w:spacing w:before="0" w:beforeAutospacing="0" w:after="240" w:afterAutospacing="0" w:line="276" w:lineRule="auto"/>
        <w:ind w:left="0"/>
        <w:rPr>
          <w:rFonts w:asciiTheme="minorHAnsi" w:eastAsia="Times New Roman" w:hAnsiTheme="minorHAnsi"/>
          <w:color w:val="000000"/>
          <w:sz w:val="20"/>
          <w:szCs w:val="20"/>
          <w:lang w:eastAsia="en-GB"/>
        </w:rPr>
      </w:pPr>
      <w:r w:rsidRPr="00B411FE">
        <w:rPr>
          <w:rFonts w:asciiTheme="minorHAnsi" w:eastAsia="Times New Roman" w:hAnsiTheme="minorHAnsi"/>
          <w:color w:val="000000"/>
          <w:sz w:val="20"/>
          <w:szCs w:val="20"/>
          <w:lang w:eastAsia="en-GB"/>
        </w:rPr>
        <w:t xml:space="preserve">In the third phase, Croatia's hydrogen infrastructure is expected to develop into a comprehensive national hydrogen network, underpinned by sophisticated energy planning and digital management systems. Key actions include: </w:t>
      </w:r>
      <w:r w:rsidRPr="00B411FE">
        <w:rPr>
          <w:rFonts w:asciiTheme="minorHAnsi" w:eastAsia="Times New Roman" w:hAnsiTheme="minorHAnsi"/>
          <w:b/>
          <w:bCs/>
          <w:color w:val="000000"/>
          <w:sz w:val="20"/>
          <w:szCs w:val="20"/>
          <w:lang w:eastAsia="en-GB"/>
        </w:rPr>
        <w:t>1.</w:t>
      </w:r>
      <w:r w:rsidRPr="00B411FE">
        <w:rPr>
          <w:rFonts w:asciiTheme="minorHAnsi" w:eastAsia="Times New Roman" w:hAnsiTheme="minorHAnsi"/>
          <w:color w:val="000000"/>
          <w:sz w:val="20"/>
          <w:szCs w:val="20"/>
          <w:lang w:eastAsia="en-GB"/>
        </w:rPr>
        <w:t xml:space="preserve"> Developing large-scale hydrogen storage in geological formations, particularly in the Pannonian Basin, such as depleted gas fields in Slavonia; </w:t>
      </w:r>
      <w:r w:rsidRPr="00B411FE">
        <w:rPr>
          <w:rFonts w:asciiTheme="minorHAnsi" w:eastAsia="Times New Roman" w:hAnsiTheme="minorHAnsi"/>
          <w:b/>
          <w:bCs/>
          <w:color w:val="000000"/>
          <w:sz w:val="20"/>
          <w:szCs w:val="20"/>
          <w:lang w:eastAsia="en-GB"/>
        </w:rPr>
        <w:t>2.</w:t>
      </w:r>
      <w:r w:rsidRPr="00B411FE">
        <w:rPr>
          <w:rFonts w:asciiTheme="minorHAnsi" w:eastAsia="Times New Roman" w:hAnsiTheme="minorHAnsi"/>
          <w:color w:val="000000"/>
          <w:sz w:val="20"/>
          <w:szCs w:val="20"/>
          <w:lang w:eastAsia="en-GB"/>
        </w:rPr>
        <w:t xml:space="preserve"> Constructing dedicated hydrogen transmission lines to connect major production and demand centres</w:t>
      </w:r>
      <w:r w:rsidRPr="00B411FE">
        <w:rPr>
          <w:rFonts w:asciiTheme="minorHAnsi" w:eastAsia="Times New Roman" w:hAnsiTheme="minorHAnsi"/>
          <w:color w:val="000000"/>
          <w:sz w:val="20"/>
          <w:szCs w:val="20"/>
          <w:lang w:val="hr-HR" w:eastAsia="en-GB"/>
        </w:rPr>
        <w:t>;</w:t>
      </w:r>
      <w:r w:rsidRPr="00B411FE">
        <w:rPr>
          <w:rFonts w:asciiTheme="minorHAnsi" w:eastAsia="Times New Roman" w:hAnsiTheme="minorHAnsi"/>
          <w:color w:val="000000"/>
          <w:sz w:val="20"/>
          <w:szCs w:val="20"/>
          <w:lang w:eastAsia="en-GB"/>
        </w:rPr>
        <w:t xml:space="preserve"> </w:t>
      </w:r>
      <w:r w:rsidRPr="00B411FE">
        <w:rPr>
          <w:rFonts w:asciiTheme="minorHAnsi" w:eastAsia="Times New Roman" w:hAnsiTheme="minorHAnsi"/>
          <w:b/>
          <w:bCs/>
          <w:color w:val="000000"/>
          <w:sz w:val="20"/>
          <w:szCs w:val="20"/>
          <w:lang w:eastAsia="en-GB"/>
        </w:rPr>
        <w:t>3.</w:t>
      </w:r>
      <w:r w:rsidRPr="00B411FE">
        <w:rPr>
          <w:rFonts w:asciiTheme="minorHAnsi" w:eastAsia="Times New Roman" w:hAnsiTheme="minorHAnsi"/>
          <w:color w:val="000000"/>
          <w:sz w:val="20"/>
          <w:szCs w:val="20"/>
          <w:lang w:eastAsia="en-GB"/>
        </w:rPr>
        <w:t xml:space="preserve"> The integration of hydrogen production facilities with electricity and gas grids facilitates </w:t>
      </w:r>
      <w:r w:rsidRPr="00B411FE">
        <w:rPr>
          <w:rFonts w:asciiTheme="minorHAnsi" w:eastAsia="Times New Roman" w:hAnsiTheme="minorHAnsi"/>
          <w:color w:val="000000"/>
          <w:sz w:val="20"/>
          <w:szCs w:val="20"/>
          <w:lang w:val="hr-HR" w:eastAsia="en-GB"/>
        </w:rPr>
        <w:t>P2G</w:t>
      </w:r>
      <w:r w:rsidRPr="00B411FE">
        <w:rPr>
          <w:rFonts w:asciiTheme="minorHAnsi" w:eastAsia="Times New Roman" w:hAnsiTheme="minorHAnsi"/>
          <w:color w:val="000000"/>
          <w:sz w:val="20"/>
          <w:szCs w:val="20"/>
          <w:lang w:eastAsia="en-GB"/>
        </w:rPr>
        <w:t xml:space="preserve"> operations, thereby improving system flexibility and grid balancing</w:t>
      </w:r>
      <w:r w:rsidRPr="00B411FE">
        <w:rPr>
          <w:rFonts w:asciiTheme="minorHAnsi" w:eastAsia="Times New Roman" w:hAnsiTheme="minorHAnsi"/>
          <w:color w:val="000000"/>
          <w:sz w:val="20"/>
          <w:szCs w:val="20"/>
          <w:lang w:val="hr-HR" w:eastAsia="en-GB"/>
        </w:rPr>
        <w:t>;</w:t>
      </w:r>
      <w:r w:rsidRPr="00B411FE">
        <w:rPr>
          <w:rFonts w:asciiTheme="minorHAnsi" w:eastAsia="Times New Roman" w:hAnsiTheme="minorHAnsi"/>
          <w:color w:val="000000"/>
          <w:sz w:val="20"/>
          <w:szCs w:val="20"/>
          <w:lang w:eastAsia="en-GB"/>
        </w:rPr>
        <w:t xml:space="preserve"> </w:t>
      </w:r>
      <w:r w:rsidRPr="00B411FE">
        <w:rPr>
          <w:rFonts w:asciiTheme="minorHAnsi" w:eastAsia="Times New Roman" w:hAnsiTheme="minorHAnsi"/>
          <w:b/>
          <w:bCs/>
          <w:color w:val="000000"/>
          <w:sz w:val="20"/>
          <w:szCs w:val="20"/>
          <w:lang w:eastAsia="en-GB"/>
        </w:rPr>
        <w:t>4.</w:t>
      </w:r>
      <w:r w:rsidRPr="00B411FE">
        <w:rPr>
          <w:rFonts w:asciiTheme="minorHAnsi" w:eastAsia="Times New Roman" w:hAnsiTheme="minorHAnsi"/>
          <w:color w:val="000000"/>
          <w:sz w:val="20"/>
          <w:szCs w:val="20"/>
          <w:lang w:eastAsia="en-GB"/>
        </w:rPr>
        <w:t xml:space="preserve"> Expanding </w:t>
      </w:r>
      <w:r w:rsidRPr="00B411FE">
        <w:rPr>
          <w:rFonts w:asciiTheme="minorHAnsi" w:eastAsia="Times New Roman" w:hAnsiTheme="minorHAnsi"/>
          <w:color w:val="000000"/>
          <w:sz w:val="20"/>
          <w:szCs w:val="20"/>
          <w:lang w:val="hr-HR" w:eastAsia="en-GB"/>
        </w:rPr>
        <w:t>hydrogen</w:t>
      </w:r>
      <w:r w:rsidRPr="00B411FE">
        <w:rPr>
          <w:rFonts w:asciiTheme="minorHAnsi" w:eastAsia="Times New Roman" w:hAnsiTheme="minorHAnsi"/>
          <w:color w:val="000000"/>
          <w:sz w:val="20"/>
          <w:szCs w:val="20"/>
          <w:lang w:eastAsia="en-GB"/>
        </w:rPr>
        <w:t xml:space="preserve"> infrastructure for public and freight transport to ensure comprehensive coverage across major cities and ports. In this phase, the North-West Region is expected to function as the national centre for digital integration, smart grid advancement, and cutting-edge research and development, enhancing hydrogen system efficiency. The Northern Adriatic Region will enhance its position as Croatia’s industrial and maritime hydrogen hub by increasing hydrogen production, export capabilities, and port-based hydrogen infrastructure. The integration of these two regions will establish a polycentric national hydrogen system, providing operational advantages to Dalmatia, Slavonia, and additional areas.</w:t>
      </w:r>
    </w:p>
    <w:p w14:paraId="46885D44" w14:textId="77777777" w:rsidR="00B411FE" w:rsidRPr="00AB501F" w:rsidRDefault="00B411FE" w:rsidP="00B411FE">
      <w:pPr>
        <w:pStyle w:val="StandardWeb"/>
        <w:pBdr>
          <w:top w:val="single" w:sz="4" w:space="1" w:color="auto"/>
          <w:bottom w:val="single" w:sz="4" w:space="1" w:color="auto"/>
        </w:pBdr>
        <w:shd w:val="clear" w:color="auto" w:fill="9ACA3C" w:themeFill="accent4"/>
        <w:spacing w:after="0" w:afterAutospacing="0" w:line="276" w:lineRule="auto"/>
        <w:ind w:left="0"/>
        <w:rPr>
          <w:rFonts w:asciiTheme="minorHAnsi" w:eastAsia="Times New Roman" w:hAnsiTheme="minorHAnsi"/>
          <w:color w:val="FFFFFF" w:themeColor="background1"/>
          <w:lang w:val="hr-HR" w:eastAsia="en-GB"/>
        </w:rPr>
      </w:pPr>
      <w:r w:rsidRPr="00AA55BA">
        <w:rPr>
          <w:rFonts w:asciiTheme="minorHAnsi" w:eastAsia="Times New Roman" w:hAnsiTheme="minorHAnsi"/>
          <w:color w:val="FFFFFF" w:themeColor="background1"/>
          <w:lang w:eastAsia="en-GB"/>
        </w:rPr>
        <w:t>Phase 4 (2035</w:t>
      </w:r>
      <w:r w:rsidRPr="00AA55BA">
        <w:rPr>
          <w:rFonts w:asciiTheme="minorHAnsi" w:eastAsia="Times New Roman" w:hAnsiTheme="minorHAnsi"/>
          <w:color w:val="FFFFFF" w:themeColor="background1"/>
          <w:lang w:val="hr-HR" w:eastAsia="en-GB"/>
        </w:rPr>
        <w:t>-</w:t>
      </w:r>
      <w:r w:rsidRPr="00AA55BA">
        <w:rPr>
          <w:rFonts w:asciiTheme="minorHAnsi" w:eastAsia="Times New Roman" w:hAnsiTheme="minorHAnsi"/>
          <w:color w:val="FFFFFF" w:themeColor="background1"/>
          <w:lang w:eastAsia="en-GB"/>
        </w:rPr>
        <w:t xml:space="preserve">onward): Strengthening </w:t>
      </w:r>
      <w:r>
        <w:rPr>
          <w:rFonts w:asciiTheme="minorHAnsi" w:eastAsia="Times New Roman" w:hAnsiTheme="minorHAnsi"/>
          <w:color w:val="FFFFFF" w:themeColor="background1"/>
          <w:lang w:eastAsia="en-GB"/>
        </w:rPr>
        <w:t>Institutions</w:t>
      </w:r>
      <w:r w:rsidRPr="00AA55BA">
        <w:rPr>
          <w:rFonts w:asciiTheme="minorHAnsi" w:eastAsia="Times New Roman" w:hAnsiTheme="minorHAnsi"/>
          <w:color w:val="FFFFFF" w:themeColor="background1"/>
          <w:lang w:eastAsia="en-GB"/>
        </w:rPr>
        <w:t xml:space="preserve"> and </w:t>
      </w:r>
      <w:r>
        <w:rPr>
          <w:rFonts w:asciiTheme="minorHAnsi" w:eastAsia="Times New Roman" w:hAnsiTheme="minorHAnsi"/>
          <w:color w:val="FFFFFF" w:themeColor="background1"/>
          <w:lang w:val="hr-HR" w:eastAsia="en-GB"/>
        </w:rPr>
        <w:t>Expanding the Market</w:t>
      </w:r>
    </w:p>
    <w:p w14:paraId="7E889CF6" w14:textId="04A38250" w:rsidR="00EC5CFD" w:rsidRPr="00B411FE" w:rsidRDefault="00B411FE" w:rsidP="00B411FE">
      <w:pPr>
        <w:pStyle w:val="StandardWeb"/>
        <w:spacing w:before="0" w:beforeAutospacing="0" w:after="240" w:line="276" w:lineRule="auto"/>
        <w:ind w:left="0"/>
        <w:rPr>
          <w:rFonts w:asciiTheme="minorHAnsi" w:eastAsia="Times New Roman" w:hAnsiTheme="minorHAnsi"/>
          <w:color w:val="000000"/>
          <w:sz w:val="20"/>
          <w:szCs w:val="20"/>
          <w:lang w:eastAsia="en-GB"/>
        </w:rPr>
      </w:pPr>
      <w:r w:rsidRPr="00B411FE">
        <w:rPr>
          <w:rFonts w:asciiTheme="minorHAnsi" w:eastAsia="Times New Roman" w:hAnsiTheme="minorHAnsi"/>
          <w:color w:val="000000"/>
          <w:sz w:val="20"/>
          <w:szCs w:val="20"/>
          <w:lang w:eastAsia="en-GB"/>
        </w:rPr>
        <w:t xml:space="preserve">The success of Croatia's hydrogen transition cannot be assured by infrastructure alone. It is essential to enhance institutional, regulatory, and market frameworks. Key </w:t>
      </w:r>
      <w:r w:rsidRPr="00B411FE">
        <w:rPr>
          <w:rFonts w:asciiTheme="minorHAnsi" w:eastAsia="Times New Roman" w:hAnsiTheme="minorHAnsi"/>
          <w:color w:val="000000"/>
          <w:sz w:val="20"/>
          <w:szCs w:val="20"/>
          <w:lang w:val="hr-HR" w:eastAsia="en-GB"/>
        </w:rPr>
        <w:t>actions</w:t>
      </w:r>
      <w:r w:rsidRPr="00B411FE">
        <w:rPr>
          <w:rFonts w:asciiTheme="minorHAnsi" w:eastAsia="Times New Roman" w:hAnsiTheme="minorHAnsi"/>
          <w:color w:val="000000"/>
          <w:sz w:val="20"/>
          <w:szCs w:val="20"/>
          <w:lang w:eastAsia="en-GB"/>
        </w:rPr>
        <w:t xml:space="preserve"> include: </w:t>
      </w:r>
      <w:r w:rsidRPr="00B411FE">
        <w:rPr>
          <w:rFonts w:asciiTheme="minorHAnsi" w:eastAsia="Times New Roman" w:hAnsiTheme="minorHAnsi"/>
          <w:b/>
          <w:bCs/>
          <w:color w:val="000000"/>
          <w:sz w:val="20"/>
          <w:szCs w:val="20"/>
          <w:lang w:eastAsia="en-GB"/>
        </w:rPr>
        <w:t xml:space="preserve">1. </w:t>
      </w:r>
      <w:r w:rsidRPr="00B411FE">
        <w:rPr>
          <w:rFonts w:asciiTheme="minorHAnsi" w:eastAsia="Times New Roman" w:hAnsiTheme="minorHAnsi"/>
          <w:color w:val="000000"/>
          <w:sz w:val="20"/>
          <w:szCs w:val="20"/>
          <w:lang w:eastAsia="en-GB"/>
        </w:rPr>
        <w:t>Establishing a National Hydrogen Infrastructure Agency or Coordination Body to align regional initiatives and ensure regulatory coherence</w:t>
      </w:r>
      <w:r w:rsidRPr="00B411FE">
        <w:rPr>
          <w:rFonts w:asciiTheme="minorHAnsi" w:eastAsia="Times New Roman" w:hAnsiTheme="minorHAnsi"/>
          <w:color w:val="000000"/>
          <w:sz w:val="20"/>
          <w:szCs w:val="20"/>
          <w:lang w:val="hr-HR" w:eastAsia="en-GB"/>
        </w:rPr>
        <w:t xml:space="preserve"> (</w:t>
      </w:r>
      <w:r w:rsidRPr="00B411FE">
        <w:rPr>
          <w:rFonts w:asciiTheme="minorHAnsi" w:eastAsia="Times New Roman" w:hAnsiTheme="minorHAnsi"/>
          <w:color w:val="000000"/>
          <w:sz w:val="20"/>
          <w:szCs w:val="20"/>
          <w:lang w:eastAsia="en-GB"/>
        </w:rPr>
        <w:t>the existing Agency for Hydrocarbons serves as a Coordination body but requires increased activity and operational capacity</w:t>
      </w:r>
      <w:r w:rsidRPr="00B411FE">
        <w:rPr>
          <w:rFonts w:asciiTheme="minorHAnsi" w:eastAsia="Times New Roman" w:hAnsiTheme="minorHAnsi"/>
          <w:color w:val="000000"/>
          <w:sz w:val="20"/>
          <w:szCs w:val="20"/>
          <w:lang w:val="hr-HR" w:eastAsia="en-GB"/>
        </w:rPr>
        <w:t>);</w:t>
      </w:r>
      <w:r w:rsidRPr="00B411FE">
        <w:rPr>
          <w:rFonts w:asciiTheme="minorHAnsi" w:eastAsia="Times New Roman" w:hAnsiTheme="minorHAnsi"/>
          <w:color w:val="000000"/>
          <w:sz w:val="20"/>
          <w:szCs w:val="20"/>
          <w:lang w:eastAsia="en-GB"/>
        </w:rPr>
        <w:t xml:space="preserve"> </w:t>
      </w:r>
      <w:r w:rsidRPr="00B411FE">
        <w:rPr>
          <w:rFonts w:asciiTheme="minorHAnsi" w:eastAsia="Times New Roman" w:hAnsiTheme="minorHAnsi"/>
          <w:b/>
          <w:bCs/>
          <w:color w:val="000000"/>
          <w:sz w:val="20"/>
          <w:szCs w:val="20"/>
          <w:lang w:eastAsia="en-GB"/>
        </w:rPr>
        <w:t>2.</w:t>
      </w:r>
      <w:r w:rsidRPr="00B411FE">
        <w:rPr>
          <w:rFonts w:asciiTheme="minorHAnsi" w:eastAsia="Times New Roman" w:hAnsiTheme="minorHAnsi"/>
          <w:color w:val="000000"/>
          <w:sz w:val="20"/>
          <w:szCs w:val="20"/>
          <w:lang w:eastAsia="en-GB"/>
        </w:rPr>
        <w:t xml:space="preserve"> Implementing market incentives and fostering public–private partnerships to enhance investment in hydrogen infrastructure; </w:t>
      </w:r>
      <w:r w:rsidRPr="00B411FE">
        <w:rPr>
          <w:rFonts w:asciiTheme="minorHAnsi" w:eastAsia="Times New Roman" w:hAnsiTheme="minorHAnsi"/>
          <w:b/>
          <w:bCs/>
          <w:color w:val="000000"/>
          <w:sz w:val="20"/>
          <w:szCs w:val="20"/>
          <w:lang w:eastAsia="en-GB"/>
        </w:rPr>
        <w:t>3.</w:t>
      </w:r>
      <w:r w:rsidRPr="00B411FE">
        <w:rPr>
          <w:rFonts w:asciiTheme="minorHAnsi" w:eastAsia="Times New Roman" w:hAnsiTheme="minorHAnsi"/>
          <w:color w:val="000000"/>
          <w:sz w:val="20"/>
          <w:szCs w:val="20"/>
          <w:lang w:eastAsia="en-GB"/>
        </w:rPr>
        <w:t xml:space="preserve"> Establishing EU-compliant standards, certification schemes, and safety frameworks for hydrogen production, storage, transportation</w:t>
      </w:r>
      <w:r w:rsidRPr="00B411FE">
        <w:rPr>
          <w:rFonts w:asciiTheme="minorHAnsi" w:eastAsia="Times New Roman" w:hAnsiTheme="minorHAnsi"/>
          <w:color w:val="000000"/>
          <w:sz w:val="20"/>
          <w:szCs w:val="20"/>
          <w:lang w:val="hr-HR" w:eastAsia="en-GB"/>
        </w:rPr>
        <w:t>, and utilization</w:t>
      </w:r>
      <w:r w:rsidRPr="00B411FE">
        <w:rPr>
          <w:rFonts w:asciiTheme="minorHAnsi" w:eastAsia="Times New Roman" w:hAnsiTheme="minorHAnsi"/>
          <w:color w:val="000000"/>
          <w:sz w:val="20"/>
          <w:szCs w:val="20"/>
          <w:lang w:eastAsia="en-GB"/>
        </w:rPr>
        <w:t xml:space="preserve">; </w:t>
      </w:r>
      <w:r w:rsidRPr="00B411FE">
        <w:rPr>
          <w:rFonts w:asciiTheme="minorHAnsi" w:eastAsia="Times New Roman" w:hAnsiTheme="minorHAnsi"/>
          <w:b/>
          <w:bCs/>
          <w:color w:val="000000"/>
          <w:sz w:val="20"/>
          <w:szCs w:val="20"/>
          <w:lang w:eastAsia="en-GB"/>
        </w:rPr>
        <w:t>4.</w:t>
      </w:r>
      <w:r w:rsidRPr="00B411FE">
        <w:rPr>
          <w:rFonts w:asciiTheme="minorHAnsi" w:eastAsia="Times New Roman" w:hAnsiTheme="minorHAnsi"/>
          <w:color w:val="000000"/>
          <w:sz w:val="20"/>
          <w:szCs w:val="20"/>
          <w:lang w:eastAsia="en-GB"/>
        </w:rPr>
        <w:t xml:space="preserve"> Promoting collaboration among municipalities, universities, and industry, especially via hydrogen innovation clusters in Zagreb and Rijeka. These </w:t>
      </w:r>
      <w:r w:rsidRPr="00B411FE">
        <w:rPr>
          <w:rFonts w:asciiTheme="minorHAnsi" w:eastAsia="Times New Roman" w:hAnsiTheme="minorHAnsi"/>
          <w:color w:val="000000"/>
          <w:sz w:val="20"/>
          <w:szCs w:val="20"/>
          <w:lang w:val="hr-HR" w:eastAsia="en-GB"/>
        </w:rPr>
        <w:t>actions</w:t>
      </w:r>
      <w:r w:rsidRPr="00B411FE">
        <w:rPr>
          <w:rFonts w:asciiTheme="minorHAnsi" w:eastAsia="Times New Roman" w:hAnsiTheme="minorHAnsi"/>
          <w:color w:val="000000"/>
          <w:sz w:val="20"/>
          <w:szCs w:val="20"/>
          <w:lang w:eastAsia="en-GB"/>
        </w:rPr>
        <w:t xml:space="preserve"> will facilitate coordinated growth, attract EU and private capital, and support infrastructure development that is technologically and economically sustainable.</w:t>
      </w:r>
    </w:p>
    <w:p w14:paraId="4A66665B" w14:textId="015E3184" w:rsidR="00B06250" w:rsidRPr="00B411FE" w:rsidRDefault="00B06250" w:rsidP="00F20312">
      <w:pPr>
        <w:pStyle w:val="CE-Headline2"/>
        <w:rPr>
          <w:rFonts w:eastAsiaTheme="majorEastAsia"/>
        </w:rPr>
      </w:pPr>
      <w:bookmarkStart w:id="28" w:name="_Toc219232411"/>
      <w:r w:rsidRPr="00B06250">
        <w:t xml:space="preserve">Measures to </w:t>
      </w:r>
      <w:r>
        <w:t>s</w:t>
      </w:r>
      <w:r w:rsidRPr="00B06250">
        <w:t xml:space="preserve">upport </w:t>
      </w:r>
      <w:r>
        <w:t>r</w:t>
      </w:r>
      <w:r w:rsidRPr="00B06250">
        <w:t xml:space="preserve">egional </w:t>
      </w:r>
      <w:r w:rsidR="00A44A4F">
        <w:t>H</w:t>
      </w:r>
      <w:r w:rsidRPr="00B06250">
        <w:t xml:space="preserve">ydrogen </w:t>
      </w:r>
      <w:r>
        <w:t>d</w:t>
      </w:r>
      <w:r w:rsidRPr="00B06250">
        <w:t>evelopmen</w:t>
      </w:r>
      <w:r>
        <w:t>t</w:t>
      </w:r>
      <w:bookmarkEnd w:id="28"/>
    </w:p>
    <w:p w14:paraId="7636A888" w14:textId="51769CB2" w:rsidR="00EC5CFD" w:rsidRDefault="00D3163E" w:rsidP="00B63AA4">
      <w:pPr>
        <w:pStyle w:val="CE-StandardText"/>
      </w:pPr>
      <w:r w:rsidRPr="00D3163E">
        <w:rPr>
          <w:rFonts w:eastAsiaTheme="majorEastAsia"/>
        </w:rPr>
        <w:t>Through the repurposing of existing assets and the strategic expansion of its hydrogen network, Croatia can develop a resilient, flexible, and future-ready hydrogen system. The Northern Adriatic Region is poised to facilitate extensive hydrogen production and maritime applications, whereas the North-West Region will focus on fostering innovation, urban integration, and system optimization. They represent the two drivers of Croatia's hydrogen transformation, connecting coastal RES with inland industrial demand and establishing Croatia as a model of effective hydrogen infrastructure and innovation in Central and Southeast Europe.</w:t>
      </w:r>
      <w:bookmarkStart w:id="29" w:name="_Toc214748757"/>
      <w:bookmarkStart w:id="30" w:name="_Hlk193193897"/>
    </w:p>
    <w:p w14:paraId="296FB724" w14:textId="74A1974F" w:rsidR="00EC5CFD" w:rsidRPr="00EC5CFD" w:rsidRDefault="00EC5CFD" w:rsidP="00B63AA4">
      <w:pPr>
        <w:pStyle w:val="CE-Headline3"/>
        <w:numPr>
          <w:ilvl w:val="0"/>
          <w:numId w:val="0"/>
        </w:numPr>
        <w:spacing w:before="240"/>
        <w:rPr>
          <w:lang w:val="en-AU"/>
        </w:rPr>
      </w:pPr>
      <w:bookmarkStart w:id="31" w:name="_Toc219232412"/>
      <w:r w:rsidRPr="00EC5CFD">
        <w:rPr>
          <w:lang w:val="en-AU"/>
        </w:rPr>
        <w:lastRenderedPageBreak/>
        <w:t>3.5.1 North-West Region</w:t>
      </w:r>
      <w:bookmarkEnd w:id="29"/>
      <w:bookmarkEnd w:id="31"/>
    </w:p>
    <w:p w14:paraId="2CD9F777" w14:textId="038B5DC1" w:rsidR="00EC5CFD" w:rsidRPr="00EC5CFD" w:rsidRDefault="00EC5CFD" w:rsidP="00E137DB">
      <w:pPr>
        <w:spacing w:before="100" w:beforeAutospacing="1" w:after="100" w:afterAutospacing="1"/>
        <w:ind w:left="0" w:right="0"/>
        <w:rPr>
          <w:rFonts w:asciiTheme="minorHAnsi" w:hAnsiTheme="minorHAnsi"/>
          <w:lang w:val="en-AU" w:eastAsia="en-GB"/>
        </w:rPr>
      </w:pPr>
      <w:r w:rsidRPr="00EC5CFD">
        <w:rPr>
          <w:rFonts w:asciiTheme="minorHAnsi" w:hAnsiTheme="minorHAnsi"/>
          <w:lang w:val="en-AU" w:eastAsia="en-GB"/>
        </w:rPr>
        <w:t>The North-West Region possesses significant potential to emerge as Croatia’s primary centre for hydrogen innovation, urban applications, and decentralised production. Various targeted initiatives can facilitate success in this region, as illustrated in Table 1.</w:t>
      </w:r>
    </w:p>
    <w:tbl>
      <w:tblPr>
        <w:tblStyle w:val="Tablicapopisa3-isticanje4"/>
        <w:tblW w:w="0" w:type="auto"/>
        <w:tblLook w:val="04A0" w:firstRow="1" w:lastRow="0" w:firstColumn="1" w:lastColumn="0" w:noHBand="0" w:noVBand="1"/>
      </w:tblPr>
      <w:tblGrid>
        <w:gridCol w:w="2689"/>
        <w:gridCol w:w="6939"/>
      </w:tblGrid>
      <w:tr w:rsidR="00EC5CFD" w:rsidRPr="00EC5CFD" w14:paraId="36451CB8" w14:textId="77777777" w:rsidTr="009A067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89" w:type="dxa"/>
          </w:tcPr>
          <w:p w14:paraId="40F75DEE" w14:textId="77777777" w:rsidR="00EC5CFD" w:rsidRPr="00EC5CFD" w:rsidRDefault="00EC5CFD" w:rsidP="00EC5CFD">
            <w:pPr>
              <w:spacing w:before="100" w:beforeAutospacing="1" w:after="100" w:afterAutospacing="1"/>
              <w:ind w:left="0" w:right="0"/>
              <w:rPr>
                <w:rFonts w:asciiTheme="minorHAnsi" w:hAnsiTheme="minorHAnsi"/>
                <w:sz w:val="24"/>
                <w:szCs w:val="24"/>
                <w:lang w:val="en-AU" w:eastAsia="en-GB"/>
              </w:rPr>
            </w:pPr>
            <w:r w:rsidRPr="00EC5CFD">
              <w:rPr>
                <w:rFonts w:asciiTheme="minorHAnsi" w:hAnsiTheme="minorHAnsi"/>
                <w:sz w:val="24"/>
                <w:szCs w:val="24"/>
                <w:lang w:val="en-AU" w:eastAsia="en-GB"/>
              </w:rPr>
              <w:t>Measure</w:t>
            </w:r>
          </w:p>
        </w:tc>
        <w:tc>
          <w:tcPr>
            <w:tcW w:w="6939" w:type="dxa"/>
          </w:tcPr>
          <w:p w14:paraId="6CDB5B29" w14:textId="77777777" w:rsidR="00EC5CFD" w:rsidRPr="00EC5CFD" w:rsidRDefault="00EC5CFD" w:rsidP="00EC5CFD">
            <w:pPr>
              <w:spacing w:before="100" w:beforeAutospacing="1" w:after="100" w:afterAutospacing="1"/>
              <w:ind w:left="0" w:right="0"/>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lang w:val="en-AU" w:eastAsia="en-GB"/>
              </w:rPr>
            </w:pPr>
            <w:r w:rsidRPr="00EC5CFD">
              <w:rPr>
                <w:rFonts w:asciiTheme="minorHAnsi" w:hAnsiTheme="minorHAnsi"/>
                <w:sz w:val="24"/>
                <w:szCs w:val="24"/>
                <w:lang w:val="en-AU" w:eastAsia="en-GB"/>
              </w:rPr>
              <w:t>Description</w:t>
            </w:r>
          </w:p>
        </w:tc>
      </w:tr>
      <w:tr w:rsidR="00EC5CFD" w:rsidRPr="00EC5CFD" w14:paraId="7C1A72B6" w14:textId="77777777" w:rsidTr="009A0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46B9D2E" w14:textId="77777777" w:rsidR="00EC5CFD" w:rsidRPr="00EC5CFD" w:rsidRDefault="00EC5CFD" w:rsidP="00EC5CFD">
            <w:pPr>
              <w:spacing w:before="100" w:beforeAutospacing="1" w:after="100" w:afterAutospacing="1"/>
              <w:ind w:left="0" w:right="0"/>
              <w:jc w:val="left"/>
              <w:rPr>
                <w:rFonts w:asciiTheme="minorHAnsi" w:hAnsiTheme="minorHAnsi"/>
                <w:lang w:val="en-AU" w:eastAsia="en-GB"/>
              </w:rPr>
            </w:pPr>
            <w:r w:rsidRPr="00EC5CFD">
              <w:rPr>
                <w:rFonts w:asciiTheme="minorHAnsi" w:hAnsiTheme="minorHAnsi"/>
                <w:lang w:val="en-AU" w:eastAsia="en-GB"/>
              </w:rPr>
              <w:t>Enhancing local hydrogen production</w:t>
            </w:r>
          </w:p>
        </w:tc>
        <w:tc>
          <w:tcPr>
            <w:tcW w:w="6939" w:type="dxa"/>
          </w:tcPr>
          <w:p w14:paraId="7F79BB7C" w14:textId="77777777" w:rsidR="00EC5CFD" w:rsidRPr="00EC5CFD" w:rsidRDefault="00EC5CFD" w:rsidP="00EC5CFD">
            <w:pPr>
              <w:spacing w:before="100" w:beforeAutospacing="1" w:after="100" w:afterAutospacing="1"/>
              <w:ind w:left="0" w:right="0"/>
              <w:cnfStyle w:val="000000100000" w:firstRow="0" w:lastRow="0" w:firstColumn="0" w:lastColumn="0" w:oddVBand="0" w:evenVBand="0" w:oddHBand="1" w:evenHBand="0" w:firstRowFirstColumn="0" w:firstRowLastColumn="0" w:lastRowFirstColumn="0" w:lastRowLastColumn="0"/>
              <w:rPr>
                <w:rFonts w:asciiTheme="minorHAnsi" w:hAnsiTheme="minorHAnsi"/>
                <w:lang w:val="en-AU" w:eastAsia="en-GB"/>
              </w:rPr>
            </w:pPr>
            <w:r w:rsidRPr="00EC5CFD">
              <w:rPr>
                <w:rFonts w:asciiTheme="minorHAnsi" w:hAnsiTheme="minorHAnsi"/>
                <w:lang w:val="en-AU" w:eastAsia="en-GB"/>
              </w:rPr>
              <w:t>The region should promote the installation of small and medium-sized electrolyzers, especially those utilizing solar energy, to produce renewable hydrogen and enhance local supply within a more flexible and sustainable energy framework. Research initiatives converting municipal or industrial waste into hydrogen can enhance circular economy objectives and expand local production pathways.</w:t>
            </w:r>
          </w:p>
        </w:tc>
      </w:tr>
      <w:tr w:rsidR="00EC5CFD" w:rsidRPr="00EC5CFD" w14:paraId="27BDE4B3" w14:textId="77777777" w:rsidTr="009A0672">
        <w:tc>
          <w:tcPr>
            <w:cnfStyle w:val="001000000000" w:firstRow="0" w:lastRow="0" w:firstColumn="1" w:lastColumn="0" w:oddVBand="0" w:evenVBand="0" w:oddHBand="0" w:evenHBand="0" w:firstRowFirstColumn="0" w:firstRowLastColumn="0" w:lastRowFirstColumn="0" w:lastRowLastColumn="0"/>
            <w:tcW w:w="2689" w:type="dxa"/>
          </w:tcPr>
          <w:p w14:paraId="1DAFBB43" w14:textId="77777777" w:rsidR="00EC5CFD" w:rsidRPr="00EC5CFD" w:rsidRDefault="00EC5CFD" w:rsidP="00EC5CFD">
            <w:pPr>
              <w:spacing w:before="100" w:beforeAutospacing="1" w:after="100" w:afterAutospacing="1"/>
              <w:ind w:left="0" w:right="0"/>
              <w:jc w:val="left"/>
              <w:rPr>
                <w:rFonts w:asciiTheme="minorHAnsi" w:hAnsiTheme="minorHAnsi"/>
                <w:lang w:val="en-AU" w:eastAsia="en-GB"/>
              </w:rPr>
            </w:pPr>
            <w:r w:rsidRPr="00EC5CFD">
              <w:rPr>
                <w:rFonts w:asciiTheme="minorHAnsi" w:hAnsiTheme="minorHAnsi"/>
                <w:lang w:val="en-AU" w:eastAsia="en-GB"/>
              </w:rPr>
              <w:t xml:space="preserve">Promoting hydrogen mobility </w:t>
            </w:r>
          </w:p>
          <w:p w14:paraId="79AFB8A7" w14:textId="77777777" w:rsidR="00EC5CFD" w:rsidRPr="00EC5CFD" w:rsidRDefault="00EC5CFD" w:rsidP="00EC5CFD">
            <w:pPr>
              <w:spacing w:before="100" w:beforeAutospacing="1" w:after="100" w:afterAutospacing="1"/>
              <w:ind w:left="0" w:right="0"/>
              <w:jc w:val="left"/>
              <w:rPr>
                <w:rFonts w:asciiTheme="minorHAnsi" w:hAnsiTheme="minorHAnsi"/>
                <w:lang w:val="en-AU" w:eastAsia="en-GB"/>
              </w:rPr>
            </w:pPr>
          </w:p>
        </w:tc>
        <w:tc>
          <w:tcPr>
            <w:tcW w:w="6939" w:type="dxa"/>
          </w:tcPr>
          <w:p w14:paraId="654BCB2A" w14:textId="77777777" w:rsidR="00EC5CFD" w:rsidRPr="00EC5CFD" w:rsidRDefault="00EC5CFD" w:rsidP="00EC5CFD">
            <w:pPr>
              <w:spacing w:before="100" w:beforeAutospacing="1" w:after="100" w:afterAutospacing="1"/>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lang w:val="en-AU" w:eastAsia="en-GB"/>
              </w:rPr>
            </w:pPr>
            <w:r w:rsidRPr="00EC5CFD">
              <w:rPr>
                <w:rFonts w:asciiTheme="minorHAnsi" w:hAnsiTheme="minorHAnsi"/>
                <w:lang w:val="en-AU" w:eastAsia="en-GB"/>
              </w:rPr>
              <w:t>The area is ideally suited for early hydrogen mobility projects because of its extensive transportation network. If HRS were set up in key spots along Zagreb's main transportation and logistics lines, it would be easier to use hydrogen-powered buses, delivery and trash trucks, and even regional rail services. Because Zagreb Airport offers great potential for testing hydrogen in ground-handling operations and other airport activities, the shift may also extend to aviation.</w:t>
            </w:r>
          </w:p>
        </w:tc>
      </w:tr>
      <w:tr w:rsidR="00EC5CFD" w:rsidRPr="00EC5CFD" w14:paraId="3E13B9B6" w14:textId="77777777" w:rsidTr="009A0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AFB63B8" w14:textId="77777777" w:rsidR="00EC5CFD" w:rsidRPr="00EC5CFD" w:rsidRDefault="00EC5CFD" w:rsidP="00EC5CFD">
            <w:pPr>
              <w:spacing w:before="100" w:beforeAutospacing="1" w:after="100" w:afterAutospacing="1"/>
              <w:ind w:left="0" w:right="0"/>
              <w:jc w:val="left"/>
              <w:rPr>
                <w:rFonts w:asciiTheme="minorHAnsi" w:hAnsiTheme="minorHAnsi"/>
                <w:lang w:val="en-AU" w:eastAsia="en-GB"/>
              </w:rPr>
            </w:pPr>
            <w:r w:rsidRPr="00EC5CFD">
              <w:rPr>
                <w:rFonts w:asciiTheme="minorHAnsi" w:hAnsiTheme="minorHAnsi"/>
                <w:lang w:val="en-AU" w:eastAsia="en-GB"/>
              </w:rPr>
              <w:t>Facilitating industrial implementation</w:t>
            </w:r>
          </w:p>
        </w:tc>
        <w:tc>
          <w:tcPr>
            <w:tcW w:w="6939" w:type="dxa"/>
          </w:tcPr>
          <w:p w14:paraId="592D68A0" w14:textId="77777777" w:rsidR="00EC5CFD" w:rsidRPr="00EC5CFD" w:rsidRDefault="00EC5CFD" w:rsidP="00EC5CFD">
            <w:pPr>
              <w:spacing w:before="100" w:beforeAutospacing="1" w:after="100" w:afterAutospacing="1"/>
              <w:ind w:left="0" w:right="0"/>
              <w:cnfStyle w:val="000000100000" w:firstRow="0" w:lastRow="0" w:firstColumn="0" w:lastColumn="0" w:oddVBand="0" w:evenVBand="0" w:oddHBand="1" w:evenHBand="0" w:firstRowFirstColumn="0" w:firstRowLastColumn="0" w:lastRowFirstColumn="0" w:lastRowLastColumn="0"/>
              <w:rPr>
                <w:rFonts w:asciiTheme="minorHAnsi" w:hAnsiTheme="minorHAnsi"/>
                <w:lang w:val="en-AU" w:eastAsia="en-GB"/>
              </w:rPr>
            </w:pPr>
            <w:r w:rsidRPr="00EC5CFD">
              <w:rPr>
                <w:rFonts w:asciiTheme="minorHAnsi" w:hAnsiTheme="minorHAnsi"/>
                <w:lang w:val="en-AU" w:eastAsia="en-GB"/>
              </w:rPr>
              <w:t>Hydrogen-based technologies could provide substantial advantages to industrial zones in Zagreb, Varaždin, and Međimurje. The integration of hydrogen-powered CHP systems or fuel cells in these sectors enables companies to reduce emissions and enhance efficiency. Targeted programs should assist energy-intensive industries in understanding how hydrogen can facilitate high-temperature processes and contribute to long-term decarbonization.</w:t>
            </w:r>
          </w:p>
        </w:tc>
      </w:tr>
      <w:tr w:rsidR="00EC5CFD" w:rsidRPr="00EC5CFD" w14:paraId="1C559FED" w14:textId="77777777" w:rsidTr="009A0672">
        <w:tc>
          <w:tcPr>
            <w:cnfStyle w:val="001000000000" w:firstRow="0" w:lastRow="0" w:firstColumn="1" w:lastColumn="0" w:oddVBand="0" w:evenVBand="0" w:oddHBand="0" w:evenHBand="0" w:firstRowFirstColumn="0" w:firstRowLastColumn="0" w:lastRowFirstColumn="0" w:lastRowLastColumn="0"/>
            <w:tcW w:w="2689" w:type="dxa"/>
          </w:tcPr>
          <w:p w14:paraId="15C85110" w14:textId="77777777" w:rsidR="00EC5CFD" w:rsidRPr="00EC5CFD" w:rsidRDefault="00EC5CFD" w:rsidP="00EC5CFD">
            <w:pPr>
              <w:spacing w:before="100" w:beforeAutospacing="1" w:after="100" w:afterAutospacing="1"/>
              <w:ind w:left="0" w:right="0"/>
              <w:jc w:val="left"/>
              <w:rPr>
                <w:rFonts w:asciiTheme="minorHAnsi" w:hAnsiTheme="minorHAnsi"/>
                <w:lang w:val="en-AU" w:eastAsia="en-GB"/>
              </w:rPr>
            </w:pPr>
            <w:r w:rsidRPr="00EC5CFD">
              <w:rPr>
                <w:rFonts w:asciiTheme="minorHAnsi" w:hAnsiTheme="minorHAnsi"/>
                <w:lang w:val="en-AU" w:eastAsia="en-GB"/>
              </w:rPr>
              <w:t>Integrating hydrogen into urban energy Infrastructure</w:t>
            </w:r>
          </w:p>
        </w:tc>
        <w:tc>
          <w:tcPr>
            <w:tcW w:w="6939" w:type="dxa"/>
          </w:tcPr>
          <w:p w14:paraId="40DA9367" w14:textId="77777777" w:rsidR="00EC5CFD" w:rsidRPr="00EC5CFD" w:rsidRDefault="00EC5CFD" w:rsidP="00EC5CFD">
            <w:pPr>
              <w:spacing w:before="100" w:beforeAutospacing="1" w:after="100" w:afterAutospacing="1"/>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lang w:val="en-AU" w:eastAsia="en-GB"/>
              </w:rPr>
            </w:pPr>
            <w:r w:rsidRPr="00EC5CFD">
              <w:rPr>
                <w:rFonts w:asciiTheme="minorHAnsi" w:hAnsiTheme="minorHAnsi"/>
                <w:lang w:val="en-AU" w:eastAsia="en-GB"/>
              </w:rPr>
              <w:t>Opportunities to integrate hydrogen into existing natural gas networks will arise as Zagreb and nearby cities improve their district heating infrastructure and energy systems. In the long term, P2G initiatives have the potential to contribute to the stabilization of the electricity grid by transforming excess RES into hydrogen for seasonal storage. Aligning urban development strategies with hydrogen-compatible infrastructure will facilitate the seamless integration of low-carbon energy solutions into new buildings and districts.</w:t>
            </w:r>
          </w:p>
        </w:tc>
      </w:tr>
      <w:tr w:rsidR="00EC5CFD" w:rsidRPr="00EC5CFD" w14:paraId="64F6F0AF" w14:textId="77777777" w:rsidTr="009A0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BE501D8" w14:textId="77777777" w:rsidR="00EC5CFD" w:rsidRPr="00EC5CFD" w:rsidRDefault="00EC5CFD" w:rsidP="00E137DB">
            <w:pPr>
              <w:spacing w:before="0"/>
              <w:ind w:left="0" w:right="0"/>
              <w:jc w:val="left"/>
              <w:rPr>
                <w:rFonts w:asciiTheme="minorHAnsi" w:hAnsiTheme="minorHAnsi"/>
                <w:lang w:val="en-AU" w:eastAsia="en-GB"/>
              </w:rPr>
            </w:pPr>
            <w:r w:rsidRPr="00EC5CFD">
              <w:rPr>
                <w:rFonts w:asciiTheme="minorHAnsi" w:hAnsiTheme="minorHAnsi"/>
                <w:lang w:val="en-AU" w:eastAsia="en-GB"/>
              </w:rPr>
              <w:t>Improving research, innovation, and competencies</w:t>
            </w:r>
          </w:p>
        </w:tc>
        <w:tc>
          <w:tcPr>
            <w:tcW w:w="6939" w:type="dxa"/>
          </w:tcPr>
          <w:p w14:paraId="3B847E88" w14:textId="4E663F8B" w:rsidR="00E137DB" w:rsidRPr="00EC5CFD" w:rsidRDefault="00EC5CFD" w:rsidP="00E137DB">
            <w:pPr>
              <w:spacing w:before="0"/>
              <w:ind w:left="0" w:right="0"/>
              <w:cnfStyle w:val="000000100000" w:firstRow="0" w:lastRow="0" w:firstColumn="0" w:lastColumn="0" w:oddVBand="0" w:evenVBand="0" w:oddHBand="1" w:evenHBand="0" w:firstRowFirstColumn="0" w:firstRowLastColumn="0" w:lastRowFirstColumn="0" w:lastRowLastColumn="0"/>
              <w:rPr>
                <w:rFonts w:asciiTheme="minorHAnsi" w:hAnsiTheme="minorHAnsi"/>
                <w:lang w:val="en-AU" w:eastAsia="en-GB"/>
              </w:rPr>
            </w:pPr>
            <w:r w:rsidRPr="00EC5CFD">
              <w:rPr>
                <w:rFonts w:asciiTheme="minorHAnsi" w:hAnsiTheme="minorHAnsi"/>
                <w:lang w:val="en-AU" w:eastAsia="en-GB"/>
              </w:rPr>
              <w:t>The strong academic base in the region, led by UNIZAG FSB, makes it a natural place for hydrogen study and development. Adding more test labs, study programs, and labs for smart grids, electrolyzers, and fuel cells will speed up the development of technology. By building a Regional Hydrogen Centre, businesses, researchers, policymakers, and public institutions would have a place to work together to try solutions before they are used in real life. Also, developing the workforce is very important. Giving engineers, technicians, and city employees specialized training will help make sure that everyone in the region has the skills they need to run hydrogen systems safely and efficiently.</w:t>
            </w:r>
          </w:p>
        </w:tc>
      </w:tr>
    </w:tbl>
    <w:p w14:paraId="10527F56" w14:textId="7EFF2CB8" w:rsidR="00EC5CFD" w:rsidRDefault="00E137DB" w:rsidP="00E137DB">
      <w:pPr>
        <w:pStyle w:val="Opisslike"/>
        <w:spacing w:after="0"/>
        <w:rPr>
          <w:rFonts w:asciiTheme="minorHAnsi" w:hAnsiTheme="minorHAnsi"/>
          <w:lang w:val="en-AU" w:eastAsia="en-GB"/>
        </w:rPr>
      </w:pPr>
      <w:bookmarkStart w:id="32" w:name="_Toc219232429"/>
      <w:r>
        <w:t xml:space="preserve">Table </w:t>
      </w:r>
      <w:r>
        <w:fldChar w:fldCharType="begin"/>
      </w:r>
      <w:r>
        <w:instrText xml:space="preserve"> SEQ Table \* ARABIC </w:instrText>
      </w:r>
      <w:r>
        <w:fldChar w:fldCharType="separate"/>
      </w:r>
      <w:r w:rsidR="00655C39">
        <w:rPr>
          <w:noProof/>
        </w:rPr>
        <w:t>6</w:t>
      </w:r>
      <w:r>
        <w:fldChar w:fldCharType="end"/>
      </w:r>
      <w:r>
        <w:rPr>
          <w:rFonts w:asciiTheme="minorHAnsi" w:hAnsiTheme="minorHAnsi"/>
          <w:lang w:eastAsia="en-GB"/>
        </w:rPr>
        <w:t xml:space="preserve">: </w:t>
      </w:r>
      <w:r w:rsidRPr="00EC5CFD">
        <w:rPr>
          <w:rFonts w:asciiTheme="minorHAnsi" w:hAnsiTheme="minorHAnsi"/>
          <w:lang w:val="en-AU" w:eastAsia="en-GB"/>
        </w:rPr>
        <w:t>Strategic measures to support hydrogen development in the North-West Region</w:t>
      </w:r>
      <w:bookmarkEnd w:id="32"/>
    </w:p>
    <w:p w14:paraId="6E44A216" w14:textId="77777777" w:rsidR="00E137DB" w:rsidRPr="00EC5CFD" w:rsidRDefault="00E137DB" w:rsidP="00EC5CFD">
      <w:pPr>
        <w:spacing w:before="0" w:line="240" w:lineRule="auto"/>
        <w:ind w:left="0" w:right="0"/>
        <w:jc w:val="left"/>
        <w:rPr>
          <w:rFonts w:asciiTheme="minorHAnsi" w:hAnsiTheme="minorHAnsi"/>
          <w:sz w:val="24"/>
          <w:szCs w:val="24"/>
          <w:lang w:val="en-AU" w:eastAsia="en-GB"/>
        </w:rPr>
      </w:pPr>
    </w:p>
    <w:p w14:paraId="6DE7A080" w14:textId="77777777" w:rsidR="00EC5CFD" w:rsidRPr="00EC5CFD" w:rsidRDefault="00EC5CFD" w:rsidP="00EC5CFD">
      <w:pPr>
        <w:pStyle w:val="CE-Headline3"/>
        <w:numPr>
          <w:ilvl w:val="0"/>
          <w:numId w:val="0"/>
        </w:numPr>
        <w:rPr>
          <w:lang w:val="en-AU"/>
        </w:rPr>
      </w:pPr>
      <w:bookmarkStart w:id="33" w:name="_Toc214748758"/>
      <w:bookmarkStart w:id="34" w:name="_Toc219232413"/>
      <w:r w:rsidRPr="00EC5CFD">
        <w:rPr>
          <w:lang w:val="en-AU"/>
        </w:rPr>
        <w:lastRenderedPageBreak/>
        <w:t>3.5.2 Northern Adriatic Region</w:t>
      </w:r>
      <w:bookmarkEnd w:id="33"/>
      <w:bookmarkEnd w:id="34"/>
    </w:p>
    <w:p w14:paraId="6602BFA8" w14:textId="5930304B" w:rsidR="00EC5CFD" w:rsidRPr="00EC5CFD" w:rsidRDefault="00EC5CFD" w:rsidP="00485537">
      <w:pPr>
        <w:spacing w:before="100" w:beforeAutospacing="1" w:after="100" w:afterAutospacing="1"/>
        <w:ind w:left="0" w:right="0"/>
        <w:rPr>
          <w:rFonts w:asciiTheme="minorHAnsi" w:hAnsiTheme="minorHAnsi"/>
          <w:lang w:val="en-AU" w:eastAsia="en-GB"/>
        </w:rPr>
      </w:pPr>
      <w:r w:rsidRPr="00EC5CFD">
        <w:rPr>
          <w:rFonts w:asciiTheme="minorHAnsi" w:hAnsiTheme="minorHAnsi"/>
          <w:lang w:val="en-AU" w:eastAsia="en-GB"/>
        </w:rPr>
        <w:t>The Northern Adriatic Region possesses all the necessary elements to establish itself as one of Croatia's premier hydrogen hubs. It incorporates industry, ports, RES, and strong connections to other countries. To fully exploit that potential, many practical measures can be implemented, as indicated in Table 2.</w:t>
      </w:r>
    </w:p>
    <w:tbl>
      <w:tblPr>
        <w:tblStyle w:val="Tablicapopisa3-isticanje4"/>
        <w:tblW w:w="0" w:type="auto"/>
        <w:tblLook w:val="04A0" w:firstRow="1" w:lastRow="0" w:firstColumn="1" w:lastColumn="0" w:noHBand="0" w:noVBand="1"/>
      </w:tblPr>
      <w:tblGrid>
        <w:gridCol w:w="2830"/>
        <w:gridCol w:w="6798"/>
      </w:tblGrid>
      <w:tr w:rsidR="00EC5CFD" w:rsidRPr="00EC5CFD" w14:paraId="48D9C0C5" w14:textId="77777777" w:rsidTr="009A067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0" w:type="dxa"/>
          </w:tcPr>
          <w:p w14:paraId="127F7DE1" w14:textId="77777777" w:rsidR="00EC5CFD" w:rsidRPr="00EC5CFD" w:rsidRDefault="00EC5CFD" w:rsidP="00EC5CFD">
            <w:pPr>
              <w:spacing w:before="100" w:beforeAutospacing="1" w:after="100" w:afterAutospacing="1"/>
              <w:ind w:left="0" w:right="0"/>
              <w:rPr>
                <w:rFonts w:asciiTheme="minorHAnsi" w:hAnsiTheme="minorHAnsi"/>
                <w:sz w:val="24"/>
                <w:szCs w:val="24"/>
                <w:lang w:val="en-AU" w:eastAsia="en-GB"/>
              </w:rPr>
            </w:pPr>
            <w:r w:rsidRPr="00EC5CFD">
              <w:rPr>
                <w:rFonts w:asciiTheme="minorHAnsi" w:hAnsiTheme="minorHAnsi"/>
                <w:sz w:val="24"/>
                <w:szCs w:val="24"/>
                <w:lang w:val="en-AU" w:eastAsia="en-GB"/>
              </w:rPr>
              <w:t>Measure</w:t>
            </w:r>
          </w:p>
        </w:tc>
        <w:tc>
          <w:tcPr>
            <w:tcW w:w="6798" w:type="dxa"/>
          </w:tcPr>
          <w:p w14:paraId="400CDF27" w14:textId="77777777" w:rsidR="00EC5CFD" w:rsidRPr="00EC5CFD" w:rsidRDefault="00EC5CFD" w:rsidP="00EC5CFD">
            <w:pPr>
              <w:spacing w:before="100" w:beforeAutospacing="1" w:after="100" w:afterAutospacing="1"/>
              <w:ind w:left="0" w:right="0"/>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lang w:val="en-AU" w:eastAsia="en-GB"/>
              </w:rPr>
            </w:pPr>
            <w:r w:rsidRPr="00EC5CFD">
              <w:rPr>
                <w:rFonts w:asciiTheme="minorHAnsi" w:hAnsiTheme="minorHAnsi"/>
                <w:sz w:val="24"/>
                <w:szCs w:val="24"/>
                <w:lang w:val="en-AU" w:eastAsia="en-GB"/>
              </w:rPr>
              <w:t>Description</w:t>
            </w:r>
          </w:p>
        </w:tc>
      </w:tr>
      <w:tr w:rsidR="00EC5CFD" w:rsidRPr="00EC5CFD" w14:paraId="264A847A" w14:textId="77777777" w:rsidTr="009A0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4C52B18" w14:textId="77777777" w:rsidR="00EC5CFD" w:rsidRPr="00EC5CFD" w:rsidRDefault="00EC5CFD" w:rsidP="00EC5CFD">
            <w:pPr>
              <w:spacing w:before="100" w:beforeAutospacing="1" w:after="100" w:afterAutospacing="1"/>
              <w:ind w:left="0" w:right="0"/>
              <w:jc w:val="left"/>
              <w:rPr>
                <w:rFonts w:asciiTheme="minorHAnsi" w:hAnsiTheme="minorHAnsi"/>
                <w:lang w:val="en-AU" w:eastAsia="en-GB"/>
              </w:rPr>
            </w:pPr>
            <w:r w:rsidRPr="00EC5CFD">
              <w:rPr>
                <w:rFonts w:asciiTheme="minorHAnsi" w:hAnsiTheme="minorHAnsi"/>
                <w:lang w:val="en-AU" w:eastAsia="en-GB"/>
              </w:rPr>
              <w:t>Supporting green (renewable) hydrogen production</w:t>
            </w:r>
          </w:p>
        </w:tc>
        <w:tc>
          <w:tcPr>
            <w:tcW w:w="6798" w:type="dxa"/>
          </w:tcPr>
          <w:p w14:paraId="7B131646" w14:textId="77777777" w:rsidR="00EC5CFD" w:rsidRPr="00EC5CFD" w:rsidRDefault="00EC5CFD" w:rsidP="00EC5CFD">
            <w:pPr>
              <w:spacing w:before="100" w:beforeAutospacing="1" w:after="100" w:afterAutospacing="1"/>
              <w:ind w:left="0" w:right="0"/>
              <w:cnfStyle w:val="000000100000" w:firstRow="0" w:lastRow="0" w:firstColumn="0" w:lastColumn="0" w:oddVBand="0" w:evenVBand="0" w:oddHBand="1" w:evenHBand="0" w:firstRowFirstColumn="0" w:firstRowLastColumn="0" w:lastRowFirstColumn="0" w:lastRowLastColumn="0"/>
              <w:rPr>
                <w:rFonts w:asciiTheme="minorHAnsi" w:hAnsiTheme="minorHAnsi"/>
                <w:lang w:val="en-AU" w:eastAsia="en-GB"/>
              </w:rPr>
            </w:pPr>
            <w:r w:rsidRPr="00EC5CFD">
              <w:rPr>
                <w:rFonts w:asciiTheme="minorHAnsi" w:hAnsiTheme="minorHAnsi"/>
                <w:lang w:val="en-AU" w:eastAsia="en-GB"/>
              </w:rPr>
              <w:t>In order to provide a consistent supply of clean electricity for electrolyzers, it will be crucial to accelerate the installation of new wind and solar power plants, with a focus on offshore wind potential in the Kvarner area. Croatia should simultaneously support renewable-hydrogen projects, where electrolysis and energy generation are planned and developed together from the start. Identifying zones for the concurrent development of RES systems and hydrogen production facilities, especially in proximity to substantial industrial complexes and the Port of Rijeka, would facilitate project execution and enhance the efficiency of integrated hydrogen production.</w:t>
            </w:r>
          </w:p>
        </w:tc>
      </w:tr>
      <w:tr w:rsidR="00EC5CFD" w:rsidRPr="00EC5CFD" w14:paraId="38319795" w14:textId="77777777" w:rsidTr="009A0672">
        <w:tc>
          <w:tcPr>
            <w:cnfStyle w:val="001000000000" w:firstRow="0" w:lastRow="0" w:firstColumn="1" w:lastColumn="0" w:oddVBand="0" w:evenVBand="0" w:oddHBand="0" w:evenHBand="0" w:firstRowFirstColumn="0" w:firstRowLastColumn="0" w:lastRowFirstColumn="0" w:lastRowLastColumn="0"/>
            <w:tcW w:w="2830" w:type="dxa"/>
          </w:tcPr>
          <w:p w14:paraId="13C8F857" w14:textId="77777777" w:rsidR="00EC5CFD" w:rsidRPr="00EC5CFD" w:rsidRDefault="00EC5CFD" w:rsidP="00EC5CFD">
            <w:pPr>
              <w:spacing w:before="100" w:beforeAutospacing="1" w:after="100" w:afterAutospacing="1"/>
              <w:ind w:left="0" w:right="0"/>
              <w:jc w:val="left"/>
              <w:rPr>
                <w:rFonts w:asciiTheme="minorHAnsi" w:hAnsiTheme="minorHAnsi"/>
                <w:lang w:val="en-AU" w:eastAsia="en-GB"/>
              </w:rPr>
            </w:pPr>
            <w:r w:rsidRPr="00EC5CFD">
              <w:rPr>
                <w:rFonts w:asciiTheme="minorHAnsi" w:hAnsiTheme="minorHAnsi"/>
                <w:lang w:val="en-AU" w:eastAsia="en-GB"/>
              </w:rPr>
              <w:t>Constructing hydrogen facilities</w:t>
            </w:r>
          </w:p>
        </w:tc>
        <w:tc>
          <w:tcPr>
            <w:tcW w:w="6798" w:type="dxa"/>
          </w:tcPr>
          <w:p w14:paraId="1FEBE80A" w14:textId="77777777" w:rsidR="00EC5CFD" w:rsidRPr="00EC5CFD" w:rsidRDefault="00EC5CFD" w:rsidP="00EC5CFD">
            <w:pPr>
              <w:spacing w:before="100" w:beforeAutospacing="1" w:after="100" w:afterAutospacing="1"/>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lang w:val="en-AU" w:eastAsia="en-GB"/>
              </w:rPr>
            </w:pPr>
            <w:r w:rsidRPr="00EC5CFD">
              <w:rPr>
                <w:rFonts w:asciiTheme="minorHAnsi" w:hAnsiTheme="minorHAnsi"/>
                <w:lang w:val="en-AU" w:eastAsia="en-GB"/>
              </w:rPr>
              <w:t>Establishing hydrogen infrastructure at the Port of Rijeka will be essential to establishing the area as a major clean fuels marine hub. This includes setting up a specific Port of Rijeka Hydrogen Hub with capabilities for delivering hydrogen to ships, backed by onshore HRS for road transportation and storage facilities. The port's shift to cleaner operations can be supported by early pilot initiatives like the introduction of hydrogen-powered ferries and the deployment of hydrogen-powered port machinery. In a longer term, all significant port investments, whether they involve ships, cargo handling systems, or more general logistics operations, must take hydrogen into account from the very beginning.</w:t>
            </w:r>
          </w:p>
        </w:tc>
      </w:tr>
      <w:tr w:rsidR="00EC5CFD" w:rsidRPr="00EC5CFD" w14:paraId="44AD9033" w14:textId="77777777" w:rsidTr="009A0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19101B3" w14:textId="77777777" w:rsidR="00EC5CFD" w:rsidRPr="00EC5CFD" w:rsidRDefault="00EC5CFD" w:rsidP="00EC5CFD">
            <w:pPr>
              <w:spacing w:before="100" w:beforeAutospacing="1" w:after="100" w:afterAutospacing="1"/>
              <w:ind w:left="0" w:right="0"/>
              <w:jc w:val="left"/>
              <w:rPr>
                <w:rFonts w:asciiTheme="minorHAnsi" w:hAnsiTheme="minorHAnsi"/>
                <w:lang w:val="en-AU" w:eastAsia="en-GB"/>
              </w:rPr>
            </w:pPr>
            <w:r w:rsidRPr="00EC5CFD">
              <w:rPr>
                <w:rFonts w:asciiTheme="minorHAnsi" w:hAnsiTheme="minorHAnsi"/>
                <w:lang w:val="en-AU" w:eastAsia="en-GB"/>
              </w:rPr>
              <w:t>Endorsing the decarbonization of industry</w:t>
            </w:r>
          </w:p>
        </w:tc>
        <w:tc>
          <w:tcPr>
            <w:tcW w:w="6798" w:type="dxa"/>
          </w:tcPr>
          <w:p w14:paraId="12FB1050" w14:textId="77777777" w:rsidR="00EC5CFD" w:rsidRPr="00EC5CFD" w:rsidRDefault="00EC5CFD" w:rsidP="00EC5CFD">
            <w:pPr>
              <w:spacing w:before="100" w:beforeAutospacing="1" w:after="100" w:afterAutospacing="1"/>
              <w:ind w:left="0" w:right="0"/>
              <w:cnfStyle w:val="000000100000" w:firstRow="0" w:lastRow="0" w:firstColumn="0" w:lastColumn="0" w:oddVBand="0" w:evenVBand="0" w:oddHBand="1" w:evenHBand="0" w:firstRowFirstColumn="0" w:firstRowLastColumn="0" w:lastRowFirstColumn="0" w:lastRowLastColumn="0"/>
              <w:rPr>
                <w:rFonts w:asciiTheme="minorHAnsi" w:hAnsiTheme="minorHAnsi"/>
                <w:lang w:val="en-AU" w:eastAsia="en-GB"/>
              </w:rPr>
            </w:pPr>
            <w:r w:rsidRPr="00EC5CFD">
              <w:rPr>
                <w:rFonts w:asciiTheme="minorHAnsi" w:hAnsiTheme="minorHAnsi"/>
                <w:lang w:val="en-AU" w:eastAsia="en-GB"/>
              </w:rPr>
              <w:t>To help reduce carbon emissions in industry, it is needed to switch from fossil fuels to green hydrogen. Aside from the refinery, specific incentives should be used to get local businesses, especially those in the cement and petrochemical industries, to try out and adopt hydrogen-based technologies. Setting up an industrial innovation zone in the refinery area would give businesses a real-life setting to try out new hydrogen solutions. This would help them learn faster and boost their confidence in using these solutions on a big scale in industry.</w:t>
            </w:r>
          </w:p>
        </w:tc>
      </w:tr>
      <w:tr w:rsidR="00EC5CFD" w:rsidRPr="00EC5CFD" w14:paraId="550808AC" w14:textId="77777777" w:rsidTr="009A0672">
        <w:tc>
          <w:tcPr>
            <w:cnfStyle w:val="001000000000" w:firstRow="0" w:lastRow="0" w:firstColumn="1" w:lastColumn="0" w:oddVBand="0" w:evenVBand="0" w:oddHBand="0" w:evenHBand="0" w:firstRowFirstColumn="0" w:firstRowLastColumn="0" w:lastRowFirstColumn="0" w:lastRowLastColumn="0"/>
            <w:tcW w:w="2830" w:type="dxa"/>
          </w:tcPr>
          <w:p w14:paraId="5181C4C6" w14:textId="77777777" w:rsidR="00EC5CFD" w:rsidRPr="00EC5CFD" w:rsidRDefault="00EC5CFD" w:rsidP="00EC5CFD">
            <w:pPr>
              <w:spacing w:before="100" w:beforeAutospacing="1" w:after="100" w:afterAutospacing="1"/>
              <w:ind w:left="0" w:right="0"/>
              <w:jc w:val="left"/>
              <w:rPr>
                <w:rFonts w:asciiTheme="minorHAnsi" w:hAnsiTheme="minorHAnsi"/>
                <w:lang w:val="en-AU" w:eastAsia="en-GB"/>
              </w:rPr>
            </w:pPr>
            <w:r w:rsidRPr="00EC5CFD">
              <w:rPr>
                <w:rFonts w:asciiTheme="minorHAnsi" w:hAnsiTheme="minorHAnsi"/>
                <w:lang w:val="en-AU" w:eastAsia="en-GB"/>
              </w:rPr>
              <w:t>Enhancing cross-border connections</w:t>
            </w:r>
          </w:p>
        </w:tc>
        <w:tc>
          <w:tcPr>
            <w:tcW w:w="6798" w:type="dxa"/>
          </w:tcPr>
          <w:p w14:paraId="7A66CE5F" w14:textId="77777777" w:rsidR="00EC5CFD" w:rsidRPr="00EC5CFD" w:rsidRDefault="00EC5CFD" w:rsidP="00EC5CFD">
            <w:pPr>
              <w:spacing w:before="100" w:beforeAutospacing="1" w:after="100" w:afterAutospacing="1"/>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lang w:val="en-AU" w:eastAsia="en-GB"/>
              </w:rPr>
            </w:pPr>
            <w:r w:rsidRPr="00EC5CFD">
              <w:rPr>
                <w:rFonts w:asciiTheme="minorHAnsi" w:hAnsiTheme="minorHAnsi"/>
                <w:lang w:val="en-AU" w:eastAsia="en-GB"/>
              </w:rPr>
              <w:t>The Northern Adriatic's long-term position in the European hydrogen market will depend on enhancing storage and fortifying cross-border connections. In order to facilitate future import and export possibilities, this involves getting the Krk LNG terminal ready to take hydrogen carriers like ammonia or methanol. Sections of the regional natural gas grid should start adjusting to transport a specific amount of hydrogen at the same time, with the goal of eventually switching to 100% hydrogen. To guarantee alignment with the European Hydrogen Backbone and to place the region within developing cross-border hydrogen corridors, close international collaboration is crucial.</w:t>
            </w:r>
          </w:p>
        </w:tc>
      </w:tr>
      <w:tr w:rsidR="00EC5CFD" w:rsidRPr="00EC5CFD" w14:paraId="031DFFE6" w14:textId="77777777" w:rsidTr="009A0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041998F" w14:textId="77777777" w:rsidR="00EC5CFD" w:rsidRPr="00EC5CFD" w:rsidRDefault="00EC5CFD" w:rsidP="00EC5CFD">
            <w:pPr>
              <w:spacing w:before="100" w:beforeAutospacing="1" w:after="100" w:afterAutospacing="1"/>
              <w:ind w:left="0" w:right="0"/>
              <w:jc w:val="left"/>
              <w:rPr>
                <w:rFonts w:asciiTheme="minorHAnsi" w:hAnsiTheme="minorHAnsi"/>
                <w:lang w:val="en-AU" w:eastAsia="en-GB"/>
              </w:rPr>
            </w:pPr>
            <w:r w:rsidRPr="00EC5CFD">
              <w:rPr>
                <w:rFonts w:asciiTheme="minorHAnsi" w:hAnsiTheme="minorHAnsi"/>
                <w:lang w:val="en-AU" w:eastAsia="en-GB"/>
              </w:rPr>
              <w:t>Developing skills and improving knowledge</w:t>
            </w:r>
          </w:p>
        </w:tc>
        <w:tc>
          <w:tcPr>
            <w:tcW w:w="6798" w:type="dxa"/>
          </w:tcPr>
          <w:p w14:paraId="510F8E34" w14:textId="77777777" w:rsidR="00EC5CFD" w:rsidRDefault="00EC5CFD" w:rsidP="00EC5CFD">
            <w:pPr>
              <w:spacing w:before="100" w:beforeAutospacing="1" w:after="100" w:afterAutospacing="1"/>
              <w:ind w:left="0" w:right="0"/>
              <w:cnfStyle w:val="000000100000" w:firstRow="0" w:lastRow="0" w:firstColumn="0" w:lastColumn="0" w:oddVBand="0" w:evenVBand="0" w:oddHBand="1" w:evenHBand="0" w:firstRowFirstColumn="0" w:firstRowLastColumn="0" w:lastRowFirstColumn="0" w:lastRowLastColumn="0"/>
              <w:rPr>
                <w:rFonts w:asciiTheme="minorHAnsi" w:hAnsiTheme="minorHAnsi"/>
                <w:lang w:val="en-AU" w:eastAsia="en-GB"/>
              </w:rPr>
            </w:pPr>
            <w:r w:rsidRPr="00EC5CFD">
              <w:rPr>
                <w:rFonts w:asciiTheme="minorHAnsi" w:hAnsiTheme="minorHAnsi"/>
                <w:lang w:val="en-AU" w:eastAsia="en-GB"/>
              </w:rPr>
              <w:t xml:space="preserve">Developing the necessary knowledge and skills for an effective hydrogen transition necessitates strong support for education, research, and workforce development. Establishing a strong connection with the Regional Hydrogen Centre in Zagreb would enhance access to technical guidance and innovation support for businesses, local authorities, and </w:t>
            </w:r>
            <w:r w:rsidRPr="00EC5CFD">
              <w:rPr>
                <w:rFonts w:asciiTheme="minorHAnsi" w:hAnsiTheme="minorHAnsi"/>
                <w:lang w:val="en-AU" w:eastAsia="en-GB"/>
              </w:rPr>
              <w:lastRenderedPageBreak/>
              <w:t>project developers. Simultaneously, customised training programs for port operators, engineers, and technicians will ensure that the regional workforce is adequately prepared to operate and maintain hydrogen technologies as they expand.</w:t>
            </w:r>
          </w:p>
          <w:p w14:paraId="5FACCC14" w14:textId="77777777" w:rsidR="00485537" w:rsidRPr="00EC5CFD" w:rsidRDefault="00485537" w:rsidP="00EC5CFD">
            <w:pPr>
              <w:spacing w:before="100" w:beforeAutospacing="1" w:after="100" w:afterAutospacing="1"/>
              <w:ind w:left="0" w:right="0"/>
              <w:cnfStyle w:val="000000100000" w:firstRow="0" w:lastRow="0" w:firstColumn="0" w:lastColumn="0" w:oddVBand="0" w:evenVBand="0" w:oddHBand="1" w:evenHBand="0" w:firstRowFirstColumn="0" w:firstRowLastColumn="0" w:lastRowFirstColumn="0" w:lastRowLastColumn="0"/>
              <w:rPr>
                <w:rFonts w:asciiTheme="minorHAnsi" w:hAnsiTheme="minorHAnsi"/>
                <w:lang w:val="en-AU" w:eastAsia="en-GB"/>
              </w:rPr>
            </w:pPr>
          </w:p>
        </w:tc>
      </w:tr>
    </w:tbl>
    <w:p w14:paraId="30EECBDC" w14:textId="5E97F5EC" w:rsidR="00EC5CFD" w:rsidRPr="00485537" w:rsidRDefault="00485537" w:rsidP="00485537">
      <w:pPr>
        <w:pStyle w:val="Opisslike"/>
        <w:jc w:val="center"/>
        <w:rPr>
          <w:rFonts w:asciiTheme="minorHAnsi" w:hAnsiTheme="minorHAnsi"/>
          <w:sz w:val="24"/>
          <w:szCs w:val="24"/>
          <w:lang w:val="en-AU" w:eastAsia="en-GB"/>
        </w:rPr>
      </w:pPr>
      <w:bookmarkStart w:id="35" w:name="_Toc219232430"/>
      <w:r w:rsidRPr="00485537">
        <w:rPr>
          <w:rFonts w:asciiTheme="minorHAnsi" w:hAnsiTheme="minorHAnsi"/>
        </w:rPr>
        <w:lastRenderedPageBreak/>
        <w:t xml:space="preserve">Table </w:t>
      </w:r>
      <w:r w:rsidRPr="00485537">
        <w:rPr>
          <w:rFonts w:asciiTheme="minorHAnsi" w:hAnsiTheme="minorHAnsi"/>
        </w:rPr>
        <w:fldChar w:fldCharType="begin"/>
      </w:r>
      <w:r w:rsidRPr="00485537">
        <w:rPr>
          <w:rFonts w:asciiTheme="minorHAnsi" w:hAnsiTheme="minorHAnsi"/>
        </w:rPr>
        <w:instrText xml:space="preserve"> SEQ Table \* ARABIC </w:instrText>
      </w:r>
      <w:r w:rsidRPr="00485537">
        <w:rPr>
          <w:rFonts w:asciiTheme="minorHAnsi" w:hAnsiTheme="minorHAnsi"/>
        </w:rPr>
        <w:fldChar w:fldCharType="separate"/>
      </w:r>
      <w:r w:rsidR="00655C39">
        <w:rPr>
          <w:rFonts w:asciiTheme="minorHAnsi" w:hAnsiTheme="minorHAnsi"/>
          <w:noProof/>
        </w:rPr>
        <w:t>7</w:t>
      </w:r>
      <w:r w:rsidRPr="00485537">
        <w:rPr>
          <w:rFonts w:asciiTheme="minorHAnsi" w:hAnsiTheme="minorHAnsi"/>
        </w:rPr>
        <w:fldChar w:fldCharType="end"/>
      </w:r>
      <w:r w:rsidRPr="00485537">
        <w:rPr>
          <w:rFonts w:asciiTheme="minorHAnsi" w:hAnsiTheme="minorHAnsi"/>
          <w:lang w:val="en-AU" w:eastAsia="en-GB"/>
        </w:rPr>
        <w:t>: Strategic measures to support hydrogen development in the Northern Adriatic Region</w:t>
      </w:r>
      <w:bookmarkEnd w:id="35"/>
    </w:p>
    <w:p w14:paraId="7826EFB2" w14:textId="77777777" w:rsidR="00EC5CFD" w:rsidRPr="00485537" w:rsidRDefault="00EC5CFD" w:rsidP="00485537">
      <w:pPr>
        <w:spacing w:before="100" w:beforeAutospacing="1" w:after="100" w:afterAutospacing="1" w:line="240" w:lineRule="auto"/>
        <w:ind w:left="0" w:right="0"/>
        <w:jc w:val="center"/>
        <w:rPr>
          <w:rFonts w:asciiTheme="minorHAnsi" w:hAnsiTheme="minorHAnsi"/>
          <w:sz w:val="24"/>
          <w:szCs w:val="24"/>
          <w:lang w:val="en-AU" w:eastAsia="en-GB"/>
        </w:rPr>
      </w:pPr>
    </w:p>
    <w:p w14:paraId="540F7E54" w14:textId="77777777" w:rsidR="00EC5CFD" w:rsidRPr="00EC5CFD" w:rsidRDefault="00EC5CFD" w:rsidP="00EC5CFD">
      <w:pPr>
        <w:pStyle w:val="CE-Headline3"/>
        <w:numPr>
          <w:ilvl w:val="0"/>
          <w:numId w:val="0"/>
        </w:numPr>
        <w:rPr>
          <w:lang w:val="en-AU"/>
        </w:rPr>
      </w:pPr>
      <w:bookmarkStart w:id="36" w:name="_Toc214748759"/>
      <w:bookmarkStart w:id="37" w:name="_Toc219232414"/>
      <w:r w:rsidRPr="00EC5CFD">
        <w:rPr>
          <w:lang w:val="en-AU"/>
        </w:rPr>
        <w:t>3.5.3 Synergy between North-West Region and Northern Adriatic Region</w:t>
      </w:r>
      <w:bookmarkEnd w:id="36"/>
      <w:bookmarkEnd w:id="37"/>
    </w:p>
    <w:p w14:paraId="716E5153" w14:textId="77777777" w:rsidR="00EC5CFD" w:rsidRPr="00EC5CFD" w:rsidRDefault="00EC5CFD" w:rsidP="00EC5CFD">
      <w:pPr>
        <w:spacing w:before="100" w:beforeAutospacing="1" w:after="100" w:afterAutospacing="1"/>
        <w:ind w:left="0" w:right="0"/>
        <w:rPr>
          <w:rFonts w:asciiTheme="minorHAnsi" w:hAnsiTheme="minorHAnsi"/>
          <w:lang w:val="en-AU" w:eastAsia="en-GB"/>
        </w:rPr>
      </w:pPr>
      <w:r w:rsidRPr="00EC5CFD">
        <w:rPr>
          <w:rFonts w:asciiTheme="minorHAnsi" w:hAnsiTheme="minorHAnsi"/>
          <w:lang w:val="en-AU" w:eastAsia="en-GB"/>
        </w:rPr>
        <w:t>The proposed measures for the North-West and Northern Adriatic Regions outline a clear framework for establishing a strong and coordinated hydrogen ecosystem in Croatia. The Northern Adriatic facilitates extensive production and maritime applications due to its ports, industrial capabilities, and RES, whereas the North-West Region provides the necessary research, innovation, and urban demand to evaluate and expand new technologies. Advancing these complementary strengths in parallel and connecting them through shared infrastructure, knowledge transfer, and joint planning may lead to the development of a multi-regional hydrogen corridor. This corridor would link Croatia to Central and Southeast European markets, enabling Croatia to establish a resilient, future-ready hydrogen economy that supports national decarbonization and enhances the country's position within the broader European energy landscape.</w:t>
      </w:r>
    </w:p>
    <w:p w14:paraId="3032E42D" w14:textId="77777777" w:rsidR="00EC5CFD" w:rsidRPr="00EC5CFD" w:rsidRDefault="00EC5CFD" w:rsidP="00EC5CFD">
      <w:pPr>
        <w:spacing w:before="0" w:line="240" w:lineRule="auto"/>
        <w:ind w:left="0" w:right="0"/>
        <w:jc w:val="left"/>
        <w:rPr>
          <w:rFonts w:asciiTheme="minorHAnsi" w:hAnsiTheme="minorHAnsi"/>
          <w:lang w:val="en-AU" w:eastAsia="en-GB"/>
        </w:rPr>
      </w:pPr>
      <w:r w:rsidRPr="00EC5CFD">
        <w:rPr>
          <w:rFonts w:asciiTheme="minorHAnsi" w:hAnsiTheme="minorHAnsi"/>
          <w:lang w:val="en-AU" w:eastAsia="en-GB"/>
        </w:rPr>
        <w:br w:type="page"/>
      </w:r>
    </w:p>
    <w:p w14:paraId="4B2E657D" w14:textId="38569F10" w:rsidR="00DD1490" w:rsidRPr="00B06250" w:rsidRDefault="007739DD" w:rsidP="00E77506">
      <w:pPr>
        <w:pStyle w:val="CE-Headline1"/>
        <w:rPr>
          <w:lang w:eastAsia="hr-HR"/>
        </w:rPr>
      </w:pPr>
      <w:bookmarkStart w:id="38" w:name="_Toc219232415"/>
      <w:bookmarkEnd w:id="30"/>
      <w:r>
        <w:rPr>
          <w:rFonts w:eastAsiaTheme="majorEastAsia"/>
        </w:rPr>
        <w:lastRenderedPageBreak/>
        <w:t>Hydrogen project landscape in Croatia</w:t>
      </w:r>
      <w:bookmarkEnd w:id="38"/>
    </w:p>
    <w:p w14:paraId="6E91F07D" w14:textId="5CCA1756" w:rsidR="00B06250" w:rsidRDefault="007739DD" w:rsidP="00B06250">
      <w:pPr>
        <w:pStyle w:val="CE-Headline2"/>
      </w:pPr>
      <w:bookmarkStart w:id="39" w:name="_Toc219232416"/>
      <w:r>
        <w:t>Current status of Hydrogen projects in Croatia</w:t>
      </w:r>
      <w:bookmarkEnd w:id="39"/>
    </w:p>
    <w:p w14:paraId="021CB584" w14:textId="77777777" w:rsidR="003270E3" w:rsidRDefault="003270E3" w:rsidP="003270E3">
      <w:pPr>
        <w:pStyle w:val="CE-StandardText"/>
      </w:pPr>
      <w:r>
        <w:t>As of 2025, the hydrogen sector in Croatia is at an early yet strategically significant stage of development. The foundations for a comprehensive hydrogen economy have been established through the Hydrogen Strategy of the Republic of Croatia until 2050 and its accompanying Implementation Study (June 2024), which outlines the pathway toward integrating renewable hydrogen into the national energy, transport, and industrial systems. The study identifies 32 hydrogen-related projects currently under development across the country, encompassing a wide range of maturity levels—from conceptual design to early implementation and pilot operation. These projects collectively demonstrate the growing national commitment to decarbonisation through renewable hydrogen and to Croatia’s alignment with the European Union’s Green Deal and REPowerEU objectives.</w:t>
      </w:r>
    </w:p>
    <w:p w14:paraId="2A323DD9" w14:textId="4842C41D" w:rsidR="003270E3" w:rsidRDefault="003270E3" w:rsidP="003270E3">
      <w:pPr>
        <w:pStyle w:val="CE-StandardText"/>
      </w:pPr>
      <w:r>
        <w:t>Most existing Croatian hydrogen projects focus on renewable hydrogen production from solar and wind power, primarily through electrolysis. According to the study, around one-fifth of all identified projects are designed as fully integrated hydrogen ecosystems—meaning they include both hydrogen generation and its end-use applications in mobility or industry. Cumulatively, these integrated projects are expected to produce approximately 975 tonnes of hydrogen per year, while the total production potential of all announced projects exceeds 33,000 tonnes annually. By contrast, current hydrogen consumption projects amount to roughly 380 tonnes per year, reflecting a clear supply–demand imbalance in the early phase of market development.</w:t>
      </w:r>
    </w:p>
    <w:p w14:paraId="70251945" w14:textId="77777777" w:rsidR="003270E3" w:rsidRDefault="003270E3" w:rsidP="003270E3">
      <w:pPr>
        <w:pStyle w:val="CE-StandardText"/>
      </w:pPr>
      <w:r>
        <w:t>A significant portion of Croatia’s hydrogen activity is associated with the North Adriatic Hydrogen Valley (NAHV), a transnational initiative involving Croatia, Slovenia, and Italy (Friuli Venezia Giulia Region). This EU-funded project represents the first cross-border hydrogen valley in Southeast Europe and is supported under the Horizon Europe Clean Hydrogen Partnership. Croatian participation includes the integration of industrial and transport pilot projects in Rijeka, Sisak, and Zagreb, with the total investment value estimated at more than €70 million. The NAHV is expected to create the first regional renewable hydrogen value chain, including production, storage, distribution, and consumption, and to establish Croatia as a key component of the European hydrogen backbone in the Adriatic region.</w:t>
      </w:r>
    </w:p>
    <w:p w14:paraId="7D5FAF6F" w14:textId="77777777" w:rsidR="003270E3" w:rsidRDefault="003270E3" w:rsidP="003270E3">
      <w:pPr>
        <w:pStyle w:val="CE-StandardText"/>
      </w:pPr>
      <w:r>
        <w:t>Domestically, two industrial facilities currently dominate hydrogen production: the Rijeka Oil Refinery, which produces hydrogen through steam methane reforming (SMR) for refining processes, and Petrokemija Kutina, which uses hydrogen for ammonia and fertilizer production. Both facilities are expected to gradually transition toward low-carbon or renewable hydrogen production. INA, the national oil and gas company, has launched preparatory studies to partially replace grey hydrogen with renewable hydrogen produced via electrolysis at the Rijeka refinery by 2030. Similar efforts are being explored in Kutina, where co-electrolysis could support the decarbonisation of ammonia synthesis.</w:t>
      </w:r>
    </w:p>
    <w:p w14:paraId="7E81022A" w14:textId="7E48F343" w:rsidR="003270E3" w:rsidRDefault="003270E3" w:rsidP="003270E3">
      <w:pPr>
        <w:pStyle w:val="CE-StandardText"/>
      </w:pPr>
      <w:r>
        <w:t xml:space="preserve">In the transport sector, Croatia is initiating several pilot projects designed to demonstrate hydrogen use in mobility and public transport. The cities of Zagreb, Rijeka, Split, and Osijek have all announced plans to procure hydrogen-powered buses and </w:t>
      </w:r>
      <w:r w:rsidR="00A065C4">
        <w:t xml:space="preserve">install hydrogen </w:t>
      </w:r>
      <w:r>
        <w:t>refuelling stations (HRS). These projects are co-financed through the National Recovery and Resilience Plan (NPOO) and the Connecting Europe Facility (CEF). The first operational HRS is expected to be commissioned in Zagreb in 2026, with a capacity of around 400 kg/day. The integration of hydrogen trains for non-electrified railway lines is also being studied in cooperation with HŽ Infrastruktura and supported by feasibility analyses funded by the European Investment Bank (EIB).</w:t>
      </w:r>
    </w:p>
    <w:p w14:paraId="5F466355" w14:textId="77777777" w:rsidR="003270E3" w:rsidRDefault="003270E3" w:rsidP="003270E3">
      <w:pPr>
        <w:pStyle w:val="CE-StandardText"/>
      </w:pPr>
      <w:r>
        <w:t xml:space="preserve">Croatia’s national gas transmission operator, Plinacro, is preparing two strategic projects—Croatia North Hydrogen Supply System and Croatia South Hydrogen Supply System—aimed at repurposing parts of the existing high-pressure natural gas network for hydrogen transport. These projects are part of the European Hydrogen Backbone (EHB) initiative and will enable future cross-border connections with Slovenia and </w:t>
      </w:r>
      <w:r>
        <w:lastRenderedPageBreak/>
        <w:t>Hungary. In parallel, LNG Terminal Krk and Port of Rijeka are being assessed as potential future entry points for imported renewable hydrogen or ammonia, reinforcing Croatia’s role as a regional energy hub in Southeast Europe.</w:t>
      </w:r>
    </w:p>
    <w:p w14:paraId="64882131" w14:textId="2E568B7C" w:rsidR="003270E3" w:rsidRDefault="003270E3" w:rsidP="003270E3">
      <w:pPr>
        <w:pStyle w:val="CE-StandardText"/>
      </w:pPr>
      <w:r>
        <w:t>Beyond industrial and transport applications, several Croatian energy companies, including HEP Group and Končar Group, are developing pilot electroly</w:t>
      </w:r>
      <w:r w:rsidR="0036341B">
        <w:t>z</w:t>
      </w:r>
      <w:r>
        <w:t>ers integrated with solar power plants, particularly in Dalmatia and Slavonia. The Green H2 Dalmatia project, currently in development, foresees a 10 MW electroly</w:t>
      </w:r>
      <w:r w:rsidR="0036341B">
        <w:t>z</w:t>
      </w:r>
      <w:r>
        <w:t>er powered by local photovoltaic capacity and coupled with hydrogen storage for use in maritime transport and grid balancing.</w:t>
      </w:r>
    </w:p>
    <w:p w14:paraId="01A95C9B" w14:textId="77777777" w:rsidR="003270E3" w:rsidRDefault="003270E3" w:rsidP="003270E3">
      <w:pPr>
        <w:pStyle w:val="CE-StandardText"/>
      </w:pPr>
      <w:r>
        <w:t>The Croatian Hydrocarbon Agency (CHA) has been designated as the coordinating body for the implementation of hydrogen-related projects, with tasks encompassing project certification, monitoring, and regulatory alignment with EU directives, including the Renewable Energy Directive (RED III) and the Hydrogen and Decarbonised Gas Market Package. The government is also developing financial mechanisms—such as production subsidies and contracts-for-difference (CfD)—to close the economic gap between grey and green hydrogen, estimated at €3–5 per kilogram.</w:t>
      </w:r>
    </w:p>
    <w:p w14:paraId="449684DC" w14:textId="77777777" w:rsidR="003270E3" w:rsidRDefault="003270E3" w:rsidP="003270E3">
      <w:pPr>
        <w:pStyle w:val="CE-StandardText"/>
      </w:pPr>
      <w:r>
        <w:t>Croatia’s current hydrogen landscape demonstrates a strong orientation toward developing a self-sustaining renewable hydrogen ecosystem. However, several systemic challenges remain. The main barriers include the absence of a mature domestic market and of large-scale off-takers, limited regulatory clarity for hydrogen certification and grid connection, and the relatively high cost of renewable electricity. Furthermore, while significant renewable resources exist—particularly solar and wind—additional investments in transmission capacity and water infrastructure are required to support large-scale hydrogen production.</w:t>
      </w:r>
    </w:p>
    <w:p w14:paraId="3E794FDF" w14:textId="77777777" w:rsidR="003270E3" w:rsidRDefault="003270E3" w:rsidP="003270E3">
      <w:pPr>
        <w:pStyle w:val="CE-StandardText"/>
      </w:pPr>
      <w:r>
        <w:t>Nevertheless, Croatia’s progress within the North Adriatic Hydrogen Valley, the gradual decarbonisation of its industrial hydrogen use, and the alignment of its national infrastructure with the European Hydrogen Backbone collectively position the country as an emerging regional hydrogen hub. Continued coordination with EU institutions and the integration of national projects into broader European frameworks will be essential to ensuring scalability, interoperability, and market readiness by 2030.</w:t>
      </w:r>
    </w:p>
    <w:p w14:paraId="65DD983C" w14:textId="4931E352" w:rsidR="003270E3" w:rsidRDefault="003270E3" w:rsidP="00B63AA4">
      <w:pPr>
        <w:pStyle w:val="CE-StandardText"/>
      </w:pPr>
      <w:r>
        <w:t>In summary, the current status of hydrogen projects in Croatia reflects a transition from strategic planning to practical implementation. The combination of industrial retrofitting, renewable hydrogen pilot plants, and cross-border infrastructure initiatives forms the foundation of a credible and growing hydrogen economy that is expected to expand rapidly over the next decade, in line with the European Union’s objectives for climate neutrality and energy system integration.</w:t>
      </w:r>
    </w:p>
    <w:p w14:paraId="7B6F5730" w14:textId="2099C83C" w:rsidR="007739DD" w:rsidRDefault="007739DD" w:rsidP="00B63AA4">
      <w:pPr>
        <w:pStyle w:val="CE-Headline2"/>
        <w:spacing w:before="240"/>
      </w:pPr>
      <w:bookmarkStart w:id="40" w:name="_Toc219232417"/>
      <w:r>
        <w:t>Pilot projects of national importance for Croatia</w:t>
      </w:r>
      <w:bookmarkEnd w:id="40"/>
    </w:p>
    <w:p w14:paraId="61D8E0F8" w14:textId="179559FE" w:rsidR="00EC494D" w:rsidRDefault="00EC494D" w:rsidP="00EC494D">
      <w:pPr>
        <w:pStyle w:val="CE-StandardText"/>
      </w:pPr>
      <w:r>
        <w:t>Croatia has entered a decisive phase in the development of its hydrogen economy, with a growing number of well-defined projects and policy frameworks that reflect alignment with the European Union’s climate and hydrogen ambitions. The national hydrogen strategy adopted in March 2022 set a goal of achieving approximately 70 MW of electroly</w:t>
      </w:r>
      <w:r w:rsidR="0036341B">
        <w:t>z</w:t>
      </w:r>
      <w:r>
        <w:t xml:space="preserve">er capacity by 2030, and up to 2,750 MW by 2050, with hydrogen accounting for roughly 0.2% of final energy consumption by 2030 and up to 11% by 2050. </w:t>
      </w:r>
    </w:p>
    <w:p w14:paraId="583B880C" w14:textId="77777777" w:rsidR="00EC494D" w:rsidRDefault="00EC494D" w:rsidP="00EC494D">
      <w:pPr>
        <w:pStyle w:val="CE-StandardText"/>
      </w:pPr>
      <w:r>
        <w:t xml:space="preserve">At the corporate and project-level, one of the most visible developments has been the investment by INA d.d., Croatia’s leading oil and gas company. In April 2024 INA signed two contracts worth EUR 98 million—one for the construction of a 10 MW electrolyser at the Rijeka refinery (to produce green hydrogen, coupled with a solar power facility) and a second project for biomethane production in Sisak from agricultural residues. </w:t>
      </w:r>
    </w:p>
    <w:p w14:paraId="3D14E914" w14:textId="0392FD88" w:rsidR="00EC494D" w:rsidRDefault="00EC494D" w:rsidP="00EC494D">
      <w:pPr>
        <w:pStyle w:val="CE-StandardText"/>
      </w:pPr>
      <w:r>
        <w:t xml:space="preserve">The hydrogen project is targeted for completion in 2026 and is intended to make INA the first commercial producer of green hydrogen in Croatia. </w:t>
      </w:r>
    </w:p>
    <w:p w14:paraId="2A5B153D" w14:textId="391501DB" w:rsidR="00EC494D" w:rsidRDefault="00EC494D" w:rsidP="00307033">
      <w:pPr>
        <w:pStyle w:val="CE-StandardText"/>
      </w:pPr>
      <w:r>
        <w:lastRenderedPageBreak/>
        <w:t xml:space="preserve">Further, in March 2025 the Croatian government granted INA EUR 15 million under the Recovery and Resilience Facility to support this green hydrogen production and distribution project for transport. </w:t>
      </w:r>
    </w:p>
    <w:p w14:paraId="48635664" w14:textId="50F1A986" w:rsidR="00EC494D" w:rsidRDefault="00EC494D" w:rsidP="00307033">
      <w:pPr>
        <w:pStyle w:val="CE-StandardText"/>
      </w:pPr>
      <w:r>
        <w:t>On the infrastructure and mobility side, the Ministry of Economy and Sustainable Development (Croatia) has launched a subsidy programme of approximately EUR 29.6 million for hydrogen refuelling stations (HRS) and e-charging infrastructure over three years. Some EUR 23 million of this budget is earmarked specifically for hydrogen HRS, with the aim of installing at least six hydrogen filling stations by 2026, on corridors linking Zagreb with Split, Varaždin and Rijeka. These investments underscore the focus on mobility (road, bus, truck) as one of the early uptake sectors.</w:t>
      </w:r>
    </w:p>
    <w:p w14:paraId="69DB6509" w14:textId="57AA2B55" w:rsidR="00EC494D" w:rsidRDefault="00EC494D" w:rsidP="00307033">
      <w:pPr>
        <w:pStyle w:val="CE-StandardText"/>
      </w:pPr>
      <w:r>
        <w:t>In the research and innovation domain, a noteworthy initiative is the pilot project at the port of Žigljen on the island of Pag: an EU-funded wave-energy-to-hydrogen installation, led by the project “Innovative Green Hydrogen Production from Wave Energy in Žigljen Port (Novalja)”. The system utilises wave energy converters, an electroly</w:t>
      </w:r>
      <w:r w:rsidR="0036341B">
        <w:t>z</w:t>
      </w:r>
      <w:r>
        <w:t xml:space="preserve">er of ~1 MW, and integrates storage. This sets a precedent in combining marine renewables and hydrogen production. </w:t>
      </w:r>
    </w:p>
    <w:p w14:paraId="2B638F51" w14:textId="62015BE9" w:rsidR="00EC494D" w:rsidRDefault="00EC494D" w:rsidP="00307033">
      <w:pPr>
        <w:pStyle w:val="CE-StandardText"/>
      </w:pPr>
      <w:r>
        <w:t>In parallel, Croatia is preparing to repurpose portions of its existing natural gas transmission network for hydrogen, as part of the wider envisaged European Hydrogen Backbone. Although less advanced, these steps represent the infrastructure dimension of the strategy.</w:t>
      </w:r>
    </w:p>
    <w:p w14:paraId="4DCE665F" w14:textId="77777777" w:rsidR="00EC494D" w:rsidRDefault="00EC494D" w:rsidP="00307033">
      <w:pPr>
        <w:pStyle w:val="CE-StandardText"/>
      </w:pPr>
      <w:r>
        <w:t>While Croatia clearly demonstrates readiness and intent, several structural features define the current status:</w:t>
      </w:r>
    </w:p>
    <w:p w14:paraId="023A33B7" w14:textId="77777777" w:rsidR="00EC494D" w:rsidRDefault="00EC494D" w:rsidP="00B63AA4">
      <w:pPr>
        <w:pStyle w:val="CE-StandardText"/>
        <w:spacing w:before="0"/>
      </w:pPr>
    </w:p>
    <w:p w14:paraId="0DDEA7DC" w14:textId="77777777" w:rsidR="00EC494D" w:rsidRDefault="00EC494D" w:rsidP="00B63AA4">
      <w:pPr>
        <w:pStyle w:val="CE-StandardText"/>
        <w:numPr>
          <w:ilvl w:val="0"/>
          <w:numId w:val="82"/>
        </w:numPr>
        <w:spacing w:before="0"/>
      </w:pPr>
      <w:r>
        <w:t>The pipeline of projects is still largely in the early to mid-stage: although contracts have been signed (e.g., INA’s electrolyser), full commercial operation remains targeted around 2026.</w:t>
      </w:r>
    </w:p>
    <w:p w14:paraId="31DA5521" w14:textId="77777777" w:rsidR="00EC494D" w:rsidRDefault="00EC494D" w:rsidP="00B63AA4">
      <w:pPr>
        <w:pStyle w:val="CE-StandardText"/>
        <w:spacing w:before="0"/>
      </w:pPr>
    </w:p>
    <w:p w14:paraId="200091EE" w14:textId="77777777" w:rsidR="00EC494D" w:rsidRDefault="00EC494D" w:rsidP="00B63AA4">
      <w:pPr>
        <w:pStyle w:val="CE-StandardText"/>
        <w:numPr>
          <w:ilvl w:val="0"/>
          <w:numId w:val="82"/>
        </w:numPr>
        <w:spacing w:before="0"/>
      </w:pPr>
      <w:r>
        <w:t>At present, demand offtake remains modest and initial applications are concentrated in transport and niche industrial uses; scaling to larger industrial, grid-injection or export roles remains a task ahead.</w:t>
      </w:r>
    </w:p>
    <w:p w14:paraId="50EB211D" w14:textId="77777777" w:rsidR="00EC494D" w:rsidRDefault="00EC494D" w:rsidP="00B63AA4">
      <w:pPr>
        <w:pStyle w:val="CE-StandardText"/>
        <w:spacing w:before="0"/>
      </w:pPr>
    </w:p>
    <w:p w14:paraId="67624494" w14:textId="77777777" w:rsidR="00EC494D" w:rsidRDefault="00EC494D" w:rsidP="00B63AA4">
      <w:pPr>
        <w:pStyle w:val="CE-StandardText"/>
        <w:numPr>
          <w:ilvl w:val="0"/>
          <w:numId w:val="82"/>
        </w:numPr>
        <w:spacing w:before="0"/>
      </w:pPr>
      <w:r>
        <w:t>The cost differential between renewable (“green”) hydrogen and conventional hydrogen remains significant. Market mechanisms and support schemes (such as subsidies or contract-for-difference models) will need to be operational and reliable to bridge this gap.</w:t>
      </w:r>
    </w:p>
    <w:p w14:paraId="3FEDC2F3" w14:textId="77777777" w:rsidR="00EC494D" w:rsidRDefault="00EC494D" w:rsidP="00B63AA4">
      <w:pPr>
        <w:pStyle w:val="CE-StandardText"/>
        <w:spacing w:before="0"/>
      </w:pPr>
    </w:p>
    <w:p w14:paraId="1F5CAE4F" w14:textId="77777777" w:rsidR="00EC494D" w:rsidRDefault="00EC494D" w:rsidP="00B63AA4">
      <w:pPr>
        <w:pStyle w:val="CE-StandardText"/>
        <w:numPr>
          <w:ilvl w:val="0"/>
          <w:numId w:val="82"/>
        </w:numPr>
        <w:spacing w:before="0"/>
      </w:pPr>
      <w:r>
        <w:t>Renewable electricity availability, grid connection and permitting continue to be key enablers. In a country with considerable renewable potential (solar, wind, marine) the successful coupling of generation with electrolysis will be critical.</w:t>
      </w:r>
    </w:p>
    <w:p w14:paraId="4197D1DC" w14:textId="77777777" w:rsidR="00EC494D" w:rsidRDefault="00EC494D" w:rsidP="00B63AA4">
      <w:pPr>
        <w:pStyle w:val="CE-StandardText"/>
        <w:spacing w:before="0"/>
      </w:pPr>
    </w:p>
    <w:p w14:paraId="785AB17F" w14:textId="77777777" w:rsidR="00EC494D" w:rsidRDefault="00EC494D" w:rsidP="00B63AA4">
      <w:pPr>
        <w:pStyle w:val="CE-StandardText"/>
        <w:numPr>
          <w:ilvl w:val="0"/>
          <w:numId w:val="82"/>
        </w:numPr>
        <w:spacing w:before="0"/>
      </w:pPr>
      <w:r>
        <w:t>Cross-border integration, via hydrogen pipelines or transport corridors (especially in the Adriatic and Central European context) offers strategic opportunity for Croatia to become a regional hydrogen hub—but this requires coordinated investment, standardisation and regulatory harmonisation.</w:t>
      </w:r>
    </w:p>
    <w:p w14:paraId="1548B361" w14:textId="2BF3B964" w:rsidR="00EC494D" w:rsidRDefault="00EC494D" w:rsidP="00EC494D">
      <w:pPr>
        <w:pStyle w:val="CE-StandardText"/>
      </w:pPr>
      <w:r>
        <w:t>In sum, Croatia is transitioning from strategy formulation to pilot implementation, with concrete projects now under contract and public support mechanisms being rolled out. The combination of industrial retrofits (e.g., at INA), mobility infrastructure (hydrogen refuelling stations), innovation pilots (wave-powered hydrogen) and emerging hydrogen shipping/transport infrastructure positions the country for an initial phase of hydrogen economy deployment. To achieve scale by 2030 and beyond in line with EU ambitions, continued attention will need to be paid to demand aggregation (off-take), cost competitiveness, enabling regulation and cross-border connectivity. Croatia is thus on a credible trajectory to integrate hydrogen into its energy system, provided the next decade sees sustained momentum and investment.</w:t>
      </w:r>
    </w:p>
    <w:p w14:paraId="007134FB" w14:textId="77777777" w:rsidR="00EC494D" w:rsidRDefault="00EC494D" w:rsidP="00EC494D">
      <w:pPr>
        <w:pStyle w:val="CE-StandardText"/>
      </w:pPr>
    </w:p>
    <w:p w14:paraId="048D79A1" w14:textId="590AFA0C" w:rsidR="007739DD" w:rsidRDefault="007739DD" w:rsidP="00B06250">
      <w:pPr>
        <w:pStyle w:val="CE-Headline2"/>
      </w:pPr>
      <w:bookmarkStart w:id="41" w:name="_Toc219232418"/>
      <w:r>
        <w:lastRenderedPageBreak/>
        <w:t xml:space="preserve">Conflict and </w:t>
      </w:r>
      <w:r w:rsidR="00A44A4F">
        <w:t>r</w:t>
      </w:r>
      <w:r>
        <w:t xml:space="preserve">isk </w:t>
      </w:r>
      <w:r w:rsidR="00A44A4F">
        <w:t>a</w:t>
      </w:r>
      <w:r>
        <w:t xml:space="preserve">ssessment of </w:t>
      </w:r>
      <w:r w:rsidR="00A44A4F">
        <w:t>h</w:t>
      </w:r>
      <w:r>
        <w:t xml:space="preserve">ydrogen </w:t>
      </w:r>
      <w:r w:rsidR="003B7AAE">
        <w:t>p</w:t>
      </w:r>
      <w:r>
        <w:t>rojects</w:t>
      </w:r>
      <w:bookmarkEnd w:id="41"/>
    </w:p>
    <w:p w14:paraId="3357B7E7" w14:textId="364D465A" w:rsidR="002B5C48" w:rsidRDefault="0031089D" w:rsidP="0031089D">
      <w:pPr>
        <w:pStyle w:val="CE-StandardText"/>
      </w:pPr>
      <w:r>
        <w:t>The rapid emergence of hydrogen initiatives in Croatia, while strategically aligned with the European Union’s decarbonisation agenda, introduces a complex array of technical, economic, environmental, and social risks that must be managed through structured governance and transparent project design. The following assessment outlines the main areas of potential conflict and risk associated with hydrogen project development in Croatia, based on the Study of the Development Plan and Implementation of the Croatian Hydrogen Strategy by 2050 (Ekonerg et al., 2024), combined with current European policy frameworks and recent developments in Croatia’s hydrogen sector as of 2025.</w:t>
      </w:r>
    </w:p>
    <w:p w14:paraId="56315156" w14:textId="77777777" w:rsidR="0031089D" w:rsidRPr="00B63AA4" w:rsidRDefault="0031089D" w:rsidP="0031089D">
      <w:pPr>
        <w:pStyle w:val="CE-StandardText"/>
        <w:numPr>
          <w:ilvl w:val="0"/>
          <w:numId w:val="84"/>
        </w:numPr>
        <w:rPr>
          <w:b/>
          <w:bCs/>
        </w:rPr>
      </w:pPr>
      <w:r w:rsidRPr="00B63AA4">
        <w:rPr>
          <w:b/>
          <w:bCs/>
        </w:rPr>
        <w:t>Regulatory and Institutional Risks</w:t>
      </w:r>
    </w:p>
    <w:p w14:paraId="4CF1374A" w14:textId="77777777" w:rsidR="0031089D" w:rsidRDefault="0031089D" w:rsidP="0031089D">
      <w:pPr>
        <w:pStyle w:val="CE-StandardText"/>
      </w:pPr>
      <w:r>
        <w:t>A key structural challenge lies in the incomplete regulatory framework governing hydrogen production, certification, and market integration. Although Croatia has adopted the Hydrogen Strategy until 2050, secondary legislation defining renewable hydrogen certification, guarantees of origin, safety standards, and blending thresholds in gas grids remains under preparation. This regulatory vacuum creates uncertainty for investors and complicates project financing. Conflicts may arise between national energy regulators, the transmission system operator (Plinacro), and local authorities regarding the classification of hydrogen infrastructure (e.g., whether it falls under gas, electricity, or industrial regulation).</w:t>
      </w:r>
    </w:p>
    <w:p w14:paraId="1E9C35B9" w14:textId="46746612" w:rsidR="002B5C48" w:rsidRDefault="0031089D" w:rsidP="0031089D">
      <w:pPr>
        <w:pStyle w:val="CE-StandardText"/>
      </w:pPr>
      <w:r>
        <w:t>Moreover, administrative procedures for permitting renewable energy and hydrogen facilities are still fragmented, with multiple institutions involved at national and county levels. The lack of a single permitting authority can result in prolonged approval times, especially for projects combining renewable generation, electroly</w:t>
      </w:r>
      <w:r w:rsidR="0036341B">
        <w:t>z</w:t>
      </w:r>
      <w:r>
        <w:t>ers, and storage facilities. Without streamlining and harmonisation, Croatia risks delays in reaching its 2030 capacity targets.</w:t>
      </w:r>
    </w:p>
    <w:p w14:paraId="270112D8" w14:textId="77777777" w:rsidR="0031089D" w:rsidRPr="00B63AA4" w:rsidRDefault="0031089D" w:rsidP="002B5C48">
      <w:pPr>
        <w:pStyle w:val="CE-StandardText"/>
        <w:numPr>
          <w:ilvl w:val="0"/>
          <w:numId w:val="84"/>
        </w:numPr>
        <w:rPr>
          <w:b/>
          <w:bCs/>
        </w:rPr>
      </w:pPr>
      <w:r w:rsidRPr="00B63AA4">
        <w:rPr>
          <w:b/>
          <w:bCs/>
        </w:rPr>
        <w:t>Technical and Infrastructure Risks</w:t>
      </w:r>
    </w:p>
    <w:p w14:paraId="035CC2E9" w14:textId="7A7C9534" w:rsidR="0031089D" w:rsidRDefault="0031089D" w:rsidP="0031089D">
      <w:pPr>
        <w:pStyle w:val="CE-StandardText"/>
      </w:pPr>
      <w:r>
        <w:t>Technological risks are closely linked to the early maturity of Croatia’s hydrogen ecosystem. Most domestic projects rely on imported electroly</w:t>
      </w:r>
      <w:r w:rsidR="0036341B">
        <w:t>z</w:t>
      </w:r>
      <w:r>
        <w:t>er technologies and components, with limited local industrial capability or maintenance expertise. This dependency on foreign suppliers exposes projects to supply chain disruptions, price volatility, and extended commissioning periods.</w:t>
      </w:r>
    </w:p>
    <w:p w14:paraId="3F3F56F5" w14:textId="1874F5D6" w:rsidR="0031089D" w:rsidRDefault="0031089D" w:rsidP="0031089D">
      <w:pPr>
        <w:pStyle w:val="CE-StandardText"/>
      </w:pPr>
      <w:r>
        <w:t>Infrastructure adaptation—particularly the repurposing of natural gas pipelines for hydrogen transport—poses additional risks. The technical feasibility of using existing steel pipelines for hydrogen blends depends on pipeline material compatibility, pressure management, and integrity testing. Hydrogen embrittlement, leakage risks, and safety concerns require comprehensive assessment and standardisation before large-scale blending or pure-hydrogen transport is implemented. Similarly, the lack of established hydrogen storage facilities, whether in salt caverns or depleted gas fields, represents a structural bottleneck for ensuring stable supply and balancing production with consumption.</w:t>
      </w:r>
    </w:p>
    <w:p w14:paraId="7BF7C207" w14:textId="77777777" w:rsidR="0031089D" w:rsidRPr="00B63AA4" w:rsidRDefault="0031089D" w:rsidP="002B5C48">
      <w:pPr>
        <w:pStyle w:val="CE-StandardText"/>
        <w:numPr>
          <w:ilvl w:val="0"/>
          <w:numId w:val="84"/>
        </w:numPr>
        <w:rPr>
          <w:b/>
          <w:bCs/>
        </w:rPr>
      </w:pPr>
      <w:r w:rsidRPr="00B63AA4">
        <w:rPr>
          <w:b/>
          <w:bCs/>
        </w:rPr>
        <w:t>Economic and Financial Risks</w:t>
      </w:r>
    </w:p>
    <w:p w14:paraId="43AE5317" w14:textId="799C495F" w:rsidR="0031089D" w:rsidRDefault="0036341B" w:rsidP="0031089D">
      <w:pPr>
        <w:pStyle w:val="CE-StandardText"/>
      </w:pPr>
      <w:r>
        <w:t>Green h</w:t>
      </w:r>
      <w:r w:rsidR="0031089D">
        <w:t>ydrogen production in Croatia remains significantly more expensive than conventional (grey) hydrogen. Current estimates place the levelised cost of renewable hydrogen between €5–7 per kilogram, compared to €1.5–2 per kilogram for hydrogen derived from natural gas. This cost disparity constitutes a major market risk, particularly in the absence of a stable carbon price signal or long-term offtake agreements.</w:t>
      </w:r>
    </w:p>
    <w:p w14:paraId="11B682B5" w14:textId="77777777" w:rsidR="0031089D" w:rsidRDefault="0031089D" w:rsidP="0031089D">
      <w:pPr>
        <w:pStyle w:val="CE-StandardText"/>
      </w:pPr>
      <w:r>
        <w:t>Funding uncertainties further intensify this risk. Although several projects benefit from EU mechanisms—such as the Innovation Fund, Connecting Europe Facility (CEF), and Horizon Europe—most rely on a mix of public grants and private capital. Any changes in EU funding priorities or delays in disbursement could jeopardize project timelines. Additionally, local banks and financial institutions have limited experience with hydrogen-related investments, resulting in cautious lending and higher perceived credit risk.</w:t>
      </w:r>
    </w:p>
    <w:p w14:paraId="15BCAED3" w14:textId="7BB7BC51" w:rsidR="0031089D" w:rsidRDefault="0031089D" w:rsidP="0031089D">
      <w:pPr>
        <w:pStyle w:val="CE-StandardText"/>
      </w:pPr>
      <w:r>
        <w:lastRenderedPageBreak/>
        <w:t>Market demand uncertainty represents another financial vulnerability. While Croatia’s hydrogen production pipeline already exceeds 30 kt per year, identified consumption projects account for less than 400 t annually. This imbalance underscores the absence of large-scale offtakers and exposes producers to price and utilisation risk unless industrial users, transport operators, or energy utilities commit to long-term supply contracts.</w:t>
      </w:r>
    </w:p>
    <w:p w14:paraId="028B8CED" w14:textId="77777777" w:rsidR="0031089D" w:rsidRPr="00B63AA4" w:rsidRDefault="0031089D" w:rsidP="002B5C48">
      <w:pPr>
        <w:pStyle w:val="CE-StandardText"/>
        <w:numPr>
          <w:ilvl w:val="0"/>
          <w:numId w:val="84"/>
        </w:numPr>
        <w:rPr>
          <w:b/>
          <w:bCs/>
        </w:rPr>
      </w:pPr>
      <w:r w:rsidRPr="00B63AA4">
        <w:rPr>
          <w:b/>
          <w:bCs/>
        </w:rPr>
        <w:t>Environmental and Water Resource Risks</w:t>
      </w:r>
    </w:p>
    <w:p w14:paraId="201C44CB" w14:textId="77777777" w:rsidR="0031089D" w:rsidRDefault="0031089D" w:rsidP="0031089D">
      <w:pPr>
        <w:pStyle w:val="CE-StandardText"/>
      </w:pPr>
      <w:r>
        <w:t>Although renewable hydrogen production is a low-emission process, its environmental footprint depends on the source of electricity, water use, and land allocation for renewable energy installations. Electrolysis requires substantial volumes of high-purity water—estimated at nearly 5 million cubic metres annually by 2050 under Croatia’s baseline scenario. While this represents only a small fraction of national water consumption, localised extraction in coastal or arid regions could affect water availability and quality, particularly during summer droughts.</w:t>
      </w:r>
    </w:p>
    <w:p w14:paraId="304C088E" w14:textId="77777777" w:rsidR="0031089D" w:rsidRDefault="0031089D" w:rsidP="0031089D">
      <w:pPr>
        <w:pStyle w:val="CE-StandardText"/>
      </w:pPr>
      <w:r>
        <w:t>Furthermore, the deployment of large-scale solar and wind plants dedicated to hydrogen production may create land-use conflicts with agriculture, forestry, or tourism. Coastal areas—especially in Dalmatia and Istria—face additional constraints due to visual and environmental sensitivities associated with tourism. In such contexts, early environmental impact assessments and spatial planning integration are essential to prevent opposition from local communities or conservation organisations.</w:t>
      </w:r>
    </w:p>
    <w:p w14:paraId="0B3EDC68" w14:textId="52C0648A" w:rsidR="0031089D" w:rsidRDefault="0031089D" w:rsidP="0031089D">
      <w:pPr>
        <w:pStyle w:val="CE-StandardText"/>
      </w:pPr>
      <w:r>
        <w:t>The risk of accidental hydrogen releases, though technically manageable, must also be carefully mitigated through rigorous safety design, emergency response planning, and public communication. Hydrogen’s flammability and invisibility demand high technical standards, operator training, and transparent information to ensure public confidence.</w:t>
      </w:r>
    </w:p>
    <w:p w14:paraId="059A48AB" w14:textId="77777777" w:rsidR="0031089D" w:rsidRPr="00B63AA4" w:rsidRDefault="0031089D" w:rsidP="002B5C48">
      <w:pPr>
        <w:pStyle w:val="CE-StandardText"/>
        <w:numPr>
          <w:ilvl w:val="0"/>
          <w:numId w:val="84"/>
        </w:numPr>
        <w:rPr>
          <w:b/>
          <w:bCs/>
        </w:rPr>
      </w:pPr>
      <w:r w:rsidRPr="00B63AA4">
        <w:rPr>
          <w:b/>
          <w:bCs/>
        </w:rPr>
        <w:t>Social Acceptance and Stakeholder Conflicts</w:t>
      </w:r>
    </w:p>
    <w:p w14:paraId="2CB53961" w14:textId="77777777" w:rsidR="0031089D" w:rsidRDefault="0031089D" w:rsidP="0031089D">
      <w:pPr>
        <w:pStyle w:val="CE-StandardText"/>
      </w:pPr>
      <w:r>
        <w:t>Public perception of hydrogen projects in Croatia is still evolving. Surveys conducted under EU-funded projects such as North Adriatic Hydrogen Valley indicate moderate awareness but limited understanding of hydrogen’s role in the energy transition. Social resistance may emerge where communities associate hydrogen infrastructure with industrial risks or where land use for renewables conflicts with tourism or local economic interests.</w:t>
      </w:r>
    </w:p>
    <w:p w14:paraId="4E82038C" w14:textId="274905BC" w:rsidR="002B5C48" w:rsidRDefault="0031089D" w:rsidP="0031089D">
      <w:pPr>
        <w:pStyle w:val="CE-StandardText"/>
      </w:pPr>
      <w:r>
        <w:t>Ensuring local participation, benefit-sharing, and communication is therefore critical. Municipalities hosting hydrogen projects should be included in early planning phases and provided with clear information about environmental safeguards and socio-economic benefits, including employment opportunities and energy security improvements. Without proactive engagement, hydrogen projects risk encountering the same opposition patterns that have delayed wind and solar developments in parts of Croatia.</w:t>
      </w:r>
    </w:p>
    <w:p w14:paraId="09E4BCC7" w14:textId="376DB246" w:rsidR="0031089D" w:rsidRDefault="0031089D" w:rsidP="00B63AA4">
      <w:pPr>
        <w:pStyle w:val="CE-StandardText"/>
        <w:numPr>
          <w:ilvl w:val="0"/>
          <w:numId w:val="84"/>
        </w:numPr>
      </w:pPr>
      <w:r w:rsidRPr="00B63AA4">
        <w:rPr>
          <w:b/>
          <w:bCs/>
        </w:rPr>
        <w:t>Geopolitical and Supply Chain Risks</w:t>
      </w:r>
    </w:p>
    <w:p w14:paraId="3E6A0216" w14:textId="35B0CC26" w:rsidR="0031089D" w:rsidRDefault="0031089D" w:rsidP="0031089D">
      <w:pPr>
        <w:pStyle w:val="CE-StandardText"/>
      </w:pPr>
      <w:r>
        <w:t>Croatia’s geographic position at the crossroads of Central and Southeastern Europe offers strategic advantages but also exposure to regional energy dynamics. Hydrogen imports and exports will likely depend on cross-border pipeline connections with Slovenia, Hungary, and Italy. Delays or divergences in regulatory frameworks between these countries could hinder the interoperability of future hydrogen infrastructure.</w:t>
      </w:r>
      <w:r w:rsidR="00A6268E">
        <w:t xml:space="preserve"> </w:t>
      </w:r>
      <w:r>
        <w:t>In addition, Croatia’s dependence on imported technology and materials exposes it to global market disruptions. The electroly</w:t>
      </w:r>
      <w:r w:rsidR="0036341B">
        <w:t>z</w:t>
      </w:r>
      <w:r>
        <w:t>er market is currently dominated by a few European and Asian suppliers. Delays in delivery, component shortages, or trade restrictions could have a cascading effect on project timelines. Ensuring local manufacturing capacity and participation in EU supply chain initiatives (such as IPCEI Hydrogen) would mitigate such risks.</w:t>
      </w:r>
    </w:p>
    <w:p w14:paraId="19B2384E" w14:textId="5A94A385" w:rsidR="0031089D" w:rsidRDefault="0031089D" w:rsidP="0031089D">
      <w:pPr>
        <w:pStyle w:val="CE-StandardText"/>
      </w:pPr>
      <w:r>
        <w:t>The conflict and risk profile of hydrogen projects in Croatia reflects the early maturity of a sector that combines high technological potential with considerable structural uncertainty. The most pressing risks—regulatory gaps, high production costs, limited demand, and social acceptance—are not unique to Croatia but characteristic of emerging hydrogen economies across the EU.</w:t>
      </w:r>
      <w:r w:rsidR="00A6268E">
        <w:t xml:space="preserve"> </w:t>
      </w:r>
      <w:r>
        <w:t xml:space="preserve">However, Croatia’s strong alignment with </w:t>
      </w:r>
      <w:r>
        <w:lastRenderedPageBreak/>
        <w:t>European hydrogen policy, its participation in cross-border initiatives such as the North Adriatic Hydrogen Valley, and its substantial renewable energy potential position it favourably to manage these challenges. By establishing a coherent regulatory framework, developing national safety and certification standards, securing offtake agreements, and enhancing public engagement, Croatia can mitigate the primary risks and ensure that hydrogen development proceeds sustainably and in harmony with EU climate and energy objectives.</w:t>
      </w:r>
    </w:p>
    <w:p w14:paraId="34AE3C45" w14:textId="1E529A72" w:rsidR="0031089D" w:rsidRDefault="0031089D" w:rsidP="0031089D">
      <w:pPr>
        <w:pStyle w:val="CE-StandardText"/>
      </w:pPr>
      <w:r>
        <w:t>In conclusion, the overall risk level of Croatia’s hydrogen projects can be characterised as moderate, with high opportunity potential—provided that institutional coordination, financial stability, and stakeholder trust are maintained throughout the 2025–2030 implementation period.</w:t>
      </w:r>
    </w:p>
    <w:p w14:paraId="71ECAFC0" w14:textId="77777777" w:rsidR="002B5C48" w:rsidRDefault="002B5C48" w:rsidP="0031089D">
      <w:pPr>
        <w:pStyle w:val="CE-StandardText"/>
      </w:pPr>
    </w:p>
    <w:p w14:paraId="14FBAA43" w14:textId="58615E3A" w:rsidR="007739DD" w:rsidRDefault="007739DD" w:rsidP="00B06250">
      <w:pPr>
        <w:pStyle w:val="CE-Headline2"/>
      </w:pPr>
      <w:bookmarkStart w:id="42" w:name="_Toc219232419"/>
      <w:r>
        <w:t>Funding and financing roadmap</w:t>
      </w:r>
      <w:bookmarkEnd w:id="42"/>
    </w:p>
    <w:p w14:paraId="5253FD12" w14:textId="77777777" w:rsidR="004D59B4" w:rsidRDefault="004D59B4" w:rsidP="004D59B4">
      <w:pPr>
        <w:pStyle w:val="CE-StandardText"/>
      </w:pPr>
      <w:r>
        <w:t>Croatia’s hydrogen development pathway is increasingly shaped by a combination of EU strategies, national policy priorities, and emerging market opportunities. Funding and financing mechanisms are evolving in parallel to support both early-stage research and large-scale deployment, creating a clear roadmap for scaling up the hydrogen economy. At the European level, Croatia benefits from Horizon Europe, particularly within the Climate, Energy, and Mobility clusters, as well as the Innovation Fund, which targets demonstration and commercial-scale projects in renewable and low-carbon hydrogen. Complementary instruments, including the European Regional Development Fund (ERDF), the Cohesion Fund, and the Connecting Europe Facility (CEF), provide additional support for infrastructure development, particularly in transport corridors, industrial clusters, and islands with high renewable energy potential. These funds are instrumental in bridging the gap between pilot projects and commercially viable hydrogen solutions.</w:t>
      </w:r>
    </w:p>
    <w:p w14:paraId="3BCE3963" w14:textId="13521DBB" w:rsidR="004D59B4" w:rsidRDefault="004D59B4" w:rsidP="004D59B4">
      <w:pPr>
        <w:pStyle w:val="CE-StandardText"/>
      </w:pPr>
      <w:r>
        <w:t>Nationally, the Croatian Government is aligning hydrogen initiatives with the National Energy and Climate Plan (NECP) and the Green Development Strategy, emphasizing the role of green hydrogen in decarbonizing industry, transport, and energy-intensive sectors. Public financing mechanisms, delivered through ministries and institutions such as the Croatian Bank for Reconstruction and Development (HBOR), offer grants, co-financing, and concessional loans designed to de-risk initial investments. In the short term, these funds are primarily directed toward research, development, and demonstration projects, creating a foundation for technical expertise and local supply chains.</w:t>
      </w:r>
    </w:p>
    <w:p w14:paraId="717C56A4" w14:textId="650EDD37" w:rsidR="004D59B4" w:rsidRDefault="004D59B4" w:rsidP="004D59B4">
      <w:pPr>
        <w:pStyle w:val="CE-StandardText"/>
      </w:pPr>
      <w:r>
        <w:t>In parallel, private investment is expected to grow as hydrogen technologies mature. Industrial players, energy companies, and venture capital investors are increasingly exploring projects ranging from electrolyzer production to hydrogen storage and transport infrastructure. Public-private partnerships will be pivotal for scaling up commercial deployment, particularly in high-impact applications such as hydrogen refue</w:t>
      </w:r>
      <w:r w:rsidR="00845FD5">
        <w:t>l</w:t>
      </w:r>
      <w:r>
        <w:t>ling stations, industrial process integration, and renewable energy-linked electrolysis. EU-level financial instruments, including loans and guarantees from the European Investment Bank (EIB) and the European Fund for Strategic Investments (EFSI), can further reduce investment risk, unlocking larger volumes of private capital.</w:t>
      </w:r>
    </w:p>
    <w:p w14:paraId="02441EF4" w14:textId="5E9D1694" w:rsidR="00845FD5" w:rsidRDefault="004D59B4" w:rsidP="004D59B4">
      <w:pPr>
        <w:pStyle w:val="CE-StandardText"/>
      </w:pPr>
      <w:r>
        <w:t>Looking ahead, the financing roadmap for hydrogen in Croatia can be framed in three phases. The initial phase focuses on research, pilot projects, and capacity building, leveraging EU grants and national R&amp;D support. The second phase emphasizes demonstration and early deployment, combining public co-financing with private investment and EU de-risking mechanisms. Finally, the third phase targets full-scale commercialization, where market-driven investments dominate, supported by regulatory incentives and infrastructure funding. By strategically sequencing public and private financing, Croatia can accelerate the adoption of hydrogen technologies, enhance energy security, and contribute to EU-wide decarbonization objectives, while positioning itself as a regional hub for sustainable hydrogen solutions.</w:t>
      </w:r>
    </w:p>
    <w:p w14:paraId="4B782586" w14:textId="77777777" w:rsidR="00845FD5" w:rsidRDefault="00845FD5">
      <w:pPr>
        <w:spacing w:before="0" w:line="240" w:lineRule="auto"/>
        <w:ind w:left="0" w:right="0"/>
        <w:jc w:val="left"/>
        <w:rPr>
          <w:rFonts w:ascii="Trebuchet MS" w:hAnsi="Trebuchet MS"/>
          <w:color w:val="000000" w:themeColor="text1"/>
          <w:szCs w:val="18"/>
        </w:rPr>
      </w:pPr>
      <w:r>
        <w:br w:type="page"/>
      </w:r>
    </w:p>
    <w:p w14:paraId="66C622ED" w14:textId="36ED9971" w:rsidR="005638F7" w:rsidRPr="0060012E" w:rsidRDefault="00A44A4F" w:rsidP="00E77506">
      <w:pPr>
        <w:pStyle w:val="CE-Headline1"/>
        <w:rPr>
          <w:rFonts w:eastAsiaTheme="majorEastAsia"/>
        </w:rPr>
      </w:pPr>
      <w:bookmarkStart w:id="43" w:name="_Toc219232420"/>
      <w:r>
        <w:lastRenderedPageBreak/>
        <w:t>Strategic priority activities for Hydrogen development through 2030 and 2050</w:t>
      </w:r>
      <w:bookmarkEnd w:id="43"/>
    </w:p>
    <w:p w14:paraId="3E5D9B55" w14:textId="77777777" w:rsidR="0060012E" w:rsidRPr="0060012E" w:rsidRDefault="0060012E" w:rsidP="00B63AA4">
      <w:pPr>
        <w:spacing w:before="100" w:beforeAutospacing="1" w:after="100" w:afterAutospacing="1"/>
        <w:ind w:left="0" w:right="0"/>
        <w:rPr>
          <w:rFonts w:asciiTheme="minorHAnsi" w:hAnsiTheme="minorHAnsi"/>
          <w:lang w:val="en-AU" w:eastAsia="hr-HR"/>
        </w:rPr>
      </w:pPr>
      <w:r w:rsidRPr="0060012E">
        <w:rPr>
          <w:rFonts w:asciiTheme="minorHAnsi" w:hAnsiTheme="minorHAnsi"/>
          <w:lang w:val="en-AU" w:eastAsia="hr-HR"/>
        </w:rPr>
        <w:t xml:space="preserve">The Croatian Hydrogen Strategy and its Implementation Plan define a phased approach for developing a national hydrogen economy aligned with the European Green Deal, REPowerEU, and the Fit-for-55 package. Croatia’s ambition is to become a </w:t>
      </w:r>
      <w:r w:rsidRPr="0060012E">
        <w:rPr>
          <w:rFonts w:asciiTheme="minorHAnsi" w:hAnsiTheme="minorHAnsi"/>
          <w:b/>
          <w:bCs/>
          <w:lang w:val="en-AU" w:eastAsia="hr-HR"/>
        </w:rPr>
        <w:t>regional hydrogen hub by 2050</w:t>
      </w:r>
      <w:r w:rsidRPr="0060012E">
        <w:rPr>
          <w:rFonts w:asciiTheme="minorHAnsi" w:hAnsiTheme="minorHAnsi"/>
          <w:lang w:val="en-AU" w:eastAsia="hr-HR"/>
        </w:rPr>
        <w:t>, integrating renewable hydrogen into industry, transport, and energy systems while contributing to the EU’s climate-neutrality objectives.</w:t>
      </w:r>
    </w:p>
    <w:p w14:paraId="281CE8F1" w14:textId="77777777" w:rsidR="0060012E" w:rsidRPr="0060012E" w:rsidRDefault="0060012E" w:rsidP="00B63AA4">
      <w:pPr>
        <w:spacing w:before="100" w:beforeAutospacing="1" w:after="100" w:afterAutospacing="1"/>
        <w:ind w:left="0" w:right="0"/>
        <w:rPr>
          <w:rFonts w:asciiTheme="minorHAnsi" w:hAnsiTheme="minorHAnsi"/>
          <w:lang w:val="en-AU" w:eastAsia="hr-HR"/>
        </w:rPr>
      </w:pPr>
      <w:r w:rsidRPr="0060012E">
        <w:rPr>
          <w:rFonts w:asciiTheme="minorHAnsi" w:hAnsiTheme="minorHAnsi"/>
          <w:lang w:val="en-AU" w:eastAsia="hr-HR"/>
        </w:rPr>
        <w:t>The implementation pathway is structured around two key milestones:</w:t>
      </w:r>
    </w:p>
    <w:p w14:paraId="78212FF4" w14:textId="77777777" w:rsidR="0060012E" w:rsidRPr="0060012E" w:rsidRDefault="0060012E" w:rsidP="00B63AA4">
      <w:pPr>
        <w:spacing w:before="100" w:beforeAutospacing="1" w:after="100" w:afterAutospacing="1"/>
        <w:ind w:left="0" w:right="0"/>
        <w:rPr>
          <w:rFonts w:asciiTheme="minorHAnsi" w:hAnsiTheme="minorHAnsi"/>
          <w:lang w:val="en-AU" w:eastAsia="hr-HR"/>
        </w:rPr>
      </w:pPr>
      <w:r w:rsidRPr="0060012E">
        <w:rPr>
          <w:rFonts w:asciiTheme="minorHAnsi" w:hAnsiTheme="minorHAnsi"/>
          <w:b/>
          <w:bCs/>
          <w:lang w:val="en-AU" w:eastAsia="hr-HR"/>
        </w:rPr>
        <w:t>By 2030: Building the foundation for a national hydrogen market</w:t>
      </w:r>
    </w:p>
    <w:p w14:paraId="2C398BA5" w14:textId="6C73A002" w:rsidR="0060012E" w:rsidRPr="0060012E" w:rsidRDefault="0060012E" w:rsidP="00B63AA4">
      <w:pPr>
        <w:numPr>
          <w:ilvl w:val="0"/>
          <w:numId w:val="85"/>
        </w:numPr>
        <w:spacing w:before="100" w:beforeAutospacing="1" w:after="100" w:afterAutospacing="1"/>
        <w:ind w:right="0"/>
        <w:rPr>
          <w:rFonts w:asciiTheme="minorHAnsi" w:hAnsiTheme="minorHAnsi"/>
          <w:lang w:val="en-AU" w:eastAsia="hr-HR"/>
        </w:rPr>
      </w:pPr>
      <w:r w:rsidRPr="0060012E">
        <w:rPr>
          <w:rFonts w:asciiTheme="minorHAnsi" w:hAnsiTheme="minorHAnsi"/>
          <w:lang w:val="en-AU" w:eastAsia="hr-HR"/>
        </w:rPr>
        <w:t xml:space="preserve">Establish up to </w:t>
      </w:r>
      <w:r w:rsidRPr="0060012E">
        <w:rPr>
          <w:rFonts w:asciiTheme="minorHAnsi" w:hAnsiTheme="minorHAnsi"/>
          <w:b/>
          <w:bCs/>
          <w:lang w:val="en-AU" w:eastAsia="hr-HR"/>
        </w:rPr>
        <w:t>510 MW of installed electroly</w:t>
      </w:r>
      <w:r w:rsidR="00ED73F7">
        <w:rPr>
          <w:rFonts w:asciiTheme="minorHAnsi" w:hAnsiTheme="minorHAnsi"/>
          <w:b/>
          <w:bCs/>
          <w:lang w:val="en-AU" w:eastAsia="hr-HR"/>
        </w:rPr>
        <w:t>z</w:t>
      </w:r>
      <w:r w:rsidRPr="0060012E">
        <w:rPr>
          <w:rFonts w:asciiTheme="minorHAnsi" w:hAnsiTheme="minorHAnsi"/>
          <w:b/>
          <w:bCs/>
          <w:lang w:val="en-AU" w:eastAsia="hr-HR"/>
        </w:rPr>
        <w:t>er capacity</w:t>
      </w:r>
      <w:r w:rsidRPr="0060012E">
        <w:rPr>
          <w:rFonts w:asciiTheme="minorHAnsi" w:hAnsiTheme="minorHAnsi"/>
          <w:lang w:val="en-AU" w:eastAsia="hr-HR"/>
        </w:rPr>
        <w:t xml:space="preserve"> producing around </w:t>
      </w:r>
      <w:r w:rsidRPr="0060012E">
        <w:rPr>
          <w:rFonts w:asciiTheme="minorHAnsi" w:hAnsiTheme="minorHAnsi"/>
          <w:b/>
          <w:bCs/>
          <w:lang w:val="en-AU" w:eastAsia="hr-HR"/>
        </w:rPr>
        <w:t>26 kt of renewable hydrogen annually</w:t>
      </w:r>
      <w:r w:rsidRPr="0060012E">
        <w:rPr>
          <w:rFonts w:asciiTheme="minorHAnsi" w:hAnsiTheme="minorHAnsi"/>
          <w:lang w:val="en-AU" w:eastAsia="hr-HR"/>
        </w:rPr>
        <w:t>.</w:t>
      </w:r>
    </w:p>
    <w:p w14:paraId="36AEF0EA" w14:textId="77777777" w:rsidR="0060012E" w:rsidRPr="0060012E" w:rsidRDefault="0060012E" w:rsidP="00B63AA4">
      <w:pPr>
        <w:numPr>
          <w:ilvl w:val="0"/>
          <w:numId w:val="85"/>
        </w:numPr>
        <w:spacing w:before="100" w:beforeAutospacing="1" w:after="100" w:afterAutospacing="1"/>
        <w:ind w:right="0"/>
        <w:rPr>
          <w:rFonts w:asciiTheme="minorHAnsi" w:hAnsiTheme="minorHAnsi"/>
          <w:lang w:val="en-AU" w:eastAsia="hr-HR"/>
        </w:rPr>
      </w:pPr>
      <w:r w:rsidRPr="0060012E">
        <w:rPr>
          <w:rFonts w:asciiTheme="minorHAnsi" w:hAnsiTheme="minorHAnsi"/>
          <w:lang w:val="en-AU" w:eastAsia="hr-HR"/>
        </w:rPr>
        <w:t xml:space="preserve">Develop an initial </w:t>
      </w:r>
      <w:r w:rsidRPr="0060012E">
        <w:rPr>
          <w:rFonts w:asciiTheme="minorHAnsi" w:hAnsiTheme="minorHAnsi"/>
          <w:b/>
          <w:bCs/>
          <w:lang w:val="en-AU" w:eastAsia="hr-HR"/>
        </w:rPr>
        <w:t>hydrogen refuelling network</w:t>
      </w:r>
      <w:r w:rsidRPr="0060012E">
        <w:rPr>
          <w:rFonts w:asciiTheme="minorHAnsi" w:hAnsiTheme="minorHAnsi"/>
          <w:lang w:val="en-AU" w:eastAsia="hr-HR"/>
        </w:rPr>
        <w:t xml:space="preserve"> across major cities and TEN-T corridors.</w:t>
      </w:r>
    </w:p>
    <w:p w14:paraId="705D0EC8" w14:textId="77777777" w:rsidR="0060012E" w:rsidRPr="0060012E" w:rsidRDefault="0060012E" w:rsidP="00B63AA4">
      <w:pPr>
        <w:numPr>
          <w:ilvl w:val="0"/>
          <w:numId w:val="85"/>
        </w:numPr>
        <w:spacing w:before="100" w:beforeAutospacing="1" w:after="100" w:afterAutospacing="1"/>
        <w:ind w:right="0"/>
        <w:rPr>
          <w:rFonts w:asciiTheme="minorHAnsi" w:hAnsiTheme="minorHAnsi"/>
          <w:lang w:val="en-AU" w:eastAsia="hr-HR"/>
        </w:rPr>
      </w:pPr>
      <w:r w:rsidRPr="0060012E">
        <w:rPr>
          <w:rFonts w:asciiTheme="minorHAnsi" w:hAnsiTheme="minorHAnsi"/>
          <w:lang w:val="en-AU" w:eastAsia="hr-HR"/>
        </w:rPr>
        <w:t xml:space="preserve">Launch </w:t>
      </w:r>
      <w:r w:rsidRPr="0060012E">
        <w:rPr>
          <w:rFonts w:asciiTheme="minorHAnsi" w:hAnsiTheme="minorHAnsi"/>
          <w:b/>
          <w:bCs/>
          <w:lang w:val="en-AU" w:eastAsia="hr-HR"/>
        </w:rPr>
        <w:t>pilot projects</w:t>
      </w:r>
      <w:r w:rsidRPr="0060012E">
        <w:rPr>
          <w:rFonts w:asciiTheme="minorHAnsi" w:hAnsiTheme="minorHAnsi"/>
          <w:lang w:val="en-AU" w:eastAsia="hr-HR"/>
        </w:rPr>
        <w:t xml:space="preserve"> in transport, industry, and public services to demonstrate technical and economic viability.</w:t>
      </w:r>
    </w:p>
    <w:p w14:paraId="3D0CFD53" w14:textId="77777777" w:rsidR="0060012E" w:rsidRPr="0060012E" w:rsidRDefault="0060012E" w:rsidP="00B63AA4">
      <w:pPr>
        <w:numPr>
          <w:ilvl w:val="0"/>
          <w:numId w:val="85"/>
        </w:numPr>
        <w:spacing w:before="100" w:beforeAutospacing="1" w:after="100" w:afterAutospacing="1"/>
        <w:ind w:right="0"/>
        <w:rPr>
          <w:rFonts w:asciiTheme="minorHAnsi" w:hAnsiTheme="minorHAnsi"/>
          <w:lang w:val="en-AU" w:eastAsia="hr-HR"/>
        </w:rPr>
      </w:pPr>
      <w:r w:rsidRPr="0060012E">
        <w:rPr>
          <w:rFonts w:asciiTheme="minorHAnsi" w:hAnsiTheme="minorHAnsi"/>
          <w:lang w:val="en-AU" w:eastAsia="hr-HR"/>
        </w:rPr>
        <w:t xml:space="preserve">Establish a </w:t>
      </w:r>
      <w:r w:rsidRPr="0060012E">
        <w:rPr>
          <w:rFonts w:asciiTheme="minorHAnsi" w:hAnsiTheme="minorHAnsi"/>
          <w:b/>
          <w:bCs/>
          <w:lang w:val="en-AU" w:eastAsia="hr-HR"/>
        </w:rPr>
        <w:t>complete regulatory and institutional framework</w:t>
      </w:r>
      <w:r w:rsidRPr="0060012E">
        <w:rPr>
          <w:rFonts w:asciiTheme="minorHAnsi" w:hAnsiTheme="minorHAnsi"/>
          <w:lang w:val="en-AU" w:eastAsia="hr-HR"/>
        </w:rPr>
        <w:t xml:space="preserve"> in line with RED III, AFIR, and the Hydrogen and Decarbonised Gas Market Package.</w:t>
      </w:r>
    </w:p>
    <w:p w14:paraId="365F3DEF" w14:textId="77777777" w:rsidR="0060012E" w:rsidRPr="0060012E" w:rsidRDefault="0060012E" w:rsidP="00B63AA4">
      <w:pPr>
        <w:numPr>
          <w:ilvl w:val="0"/>
          <w:numId w:val="85"/>
        </w:numPr>
        <w:spacing w:before="100" w:beforeAutospacing="1" w:after="100" w:afterAutospacing="1"/>
        <w:ind w:right="0"/>
        <w:rPr>
          <w:rFonts w:asciiTheme="minorHAnsi" w:hAnsiTheme="minorHAnsi"/>
          <w:lang w:val="en-AU" w:eastAsia="hr-HR"/>
        </w:rPr>
      </w:pPr>
      <w:r w:rsidRPr="0060012E">
        <w:rPr>
          <w:rFonts w:asciiTheme="minorHAnsi" w:hAnsiTheme="minorHAnsi"/>
          <w:lang w:val="en-AU" w:eastAsia="hr-HR"/>
        </w:rPr>
        <w:t xml:space="preserve">Create the </w:t>
      </w:r>
      <w:r w:rsidRPr="0060012E">
        <w:rPr>
          <w:rFonts w:asciiTheme="minorHAnsi" w:hAnsiTheme="minorHAnsi"/>
          <w:b/>
          <w:bCs/>
          <w:lang w:val="en-AU" w:eastAsia="hr-HR"/>
        </w:rPr>
        <w:t>first hydrogen valleys and industrial hubs</w:t>
      </w:r>
      <w:r w:rsidRPr="0060012E">
        <w:rPr>
          <w:rFonts w:asciiTheme="minorHAnsi" w:hAnsiTheme="minorHAnsi"/>
          <w:lang w:val="en-AU" w:eastAsia="hr-HR"/>
        </w:rPr>
        <w:t xml:space="preserve"> supported by EU and national funding instruments.</w:t>
      </w:r>
    </w:p>
    <w:p w14:paraId="7ED7B90F" w14:textId="77777777" w:rsidR="0060012E" w:rsidRPr="0060012E" w:rsidRDefault="0060012E" w:rsidP="00B63AA4">
      <w:pPr>
        <w:spacing w:before="100" w:beforeAutospacing="1" w:after="100" w:afterAutospacing="1"/>
        <w:ind w:left="0" w:right="0"/>
        <w:rPr>
          <w:rFonts w:asciiTheme="minorHAnsi" w:hAnsiTheme="minorHAnsi"/>
          <w:lang w:val="en-AU" w:eastAsia="hr-HR"/>
        </w:rPr>
      </w:pPr>
      <w:r w:rsidRPr="0060012E">
        <w:rPr>
          <w:rFonts w:asciiTheme="minorHAnsi" w:hAnsiTheme="minorHAnsi"/>
          <w:b/>
          <w:bCs/>
          <w:lang w:val="en-AU" w:eastAsia="hr-HR"/>
        </w:rPr>
        <w:t>By 2050: Achieving full integration and regional leadership</w:t>
      </w:r>
    </w:p>
    <w:p w14:paraId="34E38057" w14:textId="2ACE5148" w:rsidR="0060012E" w:rsidRPr="0060012E" w:rsidRDefault="0060012E" w:rsidP="00B63AA4">
      <w:pPr>
        <w:numPr>
          <w:ilvl w:val="0"/>
          <w:numId w:val="86"/>
        </w:numPr>
        <w:spacing w:before="100" w:beforeAutospacing="1" w:after="100" w:afterAutospacing="1"/>
        <w:ind w:right="0"/>
        <w:rPr>
          <w:rFonts w:asciiTheme="minorHAnsi" w:hAnsiTheme="minorHAnsi"/>
          <w:lang w:val="en-AU" w:eastAsia="hr-HR"/>
        </w:rPr>
      </w:pPr>
      <w:r w:rsidRPr="0060012E">
        <w:rPr>
          <w:rFonts w:asciiTheme="minorHAnsi" w:hAnsiTheme="minorHAnsi"/>
          <w:lang w:val="en-AU" w:eastAsia="hr-HR"/>
        </w:rPr>
        <w:t xml:space="preserve">Scale up to </w:t>
      </w:r>
      <w:r w:rsidRPr="0060012E">
        <w:rPr>
          <w:rFonts w:asciiTheme="minorHAnsi" w:hAnsiTheme="minorHAnsi"/>
          <w:b/>
          <w:bCs/>
          <w:lang w:val="en-AU" w:eastAsia="hr-HR"/>
        </w:rPr>
        <w:t>4.7 GW of electroly</w:t>
      </w:r>
      <w:r w:rsidR="00ED73F7">
        <w:rPr>
          <w:rFonts w:asciiTheme="minorHAnsi" w:hAnsiTheme="minorHAnsi"/>
          <w:b/>
          <w:bCs/>
          <w:lang w:val="en-AU" w:eastAsia="hr-HR"/>
        </w:rPr>
        <w:t>z</w:t>
      </w:r>
      <w:r w:rsidRPr="0060012E">
        <w:rPr>
          <w:rFonts w:asciiTheme="minorHAnsi" w:hAnsiTheme="minorHAnsi"/>
          <w:b/>
          <w:bCs/>
          <w:lang w:val="en-AU" w:eastAsia="hr-HR"/>
        </w:rPr>
        <w:t>er capacity</w:t>
      </w:r>
      <w:r w:rsidRPr="0060012E">
        <w:rPr>
          <w:rFonts w:asciiTheme="minorHAnsi" w:hAnsiTheme="minorHAnsi"/>
          <w:lang w:val="en-AU" w:eastAsia="hr-HR"/>
        </w:rPr>
        <w:t xml:space="preserve"> and reach over </w:t>
      </w:r>
      <w:r w:rsidRPr="0060012E">
        <w:rPr>
          <w:rFonts w:asciiTheme="minorHAnsi" w:hAnsiTheme="minorHAnsi"/>
          <w:b/>
          <w:bCs/>
          <w:lang w:val="en-AU" w:eastAsia="hr-HR"/>
        </w:rPr>
        <w:t>240 kt of renewable hydrogen production per year</w:t>
      </w:r>
      <w:r w:rsidRPr="0060012E">
        <w:rPr>
          <w:rFonts w:asciiTheme="minorHAnsi" w:hAnsiTheme="minorHAnsi"/>
          <w:lang w:val="en-AU" w:eastAsia="hr-HR"/>
        </w:rPr>
        <w:t>.</w:t>
      </w:r>
    </w:p>
    <w:p w14:paraId="16BF683E" w14:textId="77777777" w:rsidR="0060012E" w:rsidRPr="0060012E" w:rsidRDefault="0060012E" w:rsidP="00B63AA4">
      <w:pPr>
        <w:numPr>
          <w:ilvl w:val="0"/>
          <w:numId w:val="86"/>
        </w:numPr>
        <w:spacing w:before="100" w:beforeAutospacing="1" w:after="100" w:afterAutospacing="1"/>
        <w:ind w:right="0"/>
        <w:rPr>
          <w:rFonts w:asciiTheme="minorHAnsi" w:hAnsiTheme="minorHAnsi"/>
          <w:lang w:val="en-AU" w:eastAsia="hr-HR"/>
        </w:rPr>
      </w:pPr>
      <w:r w:rsidRPr="0060012E">
        <w:rPr>
          <w:rFonts w:asciiTheme="minorHAnsi" w:hAnsiTheme="minorHAnsi"/>
          <w:lang w:val="en-AU" w:eastAsia="hr-HR"/>
        </w:rPr>
        <w:t xml:space="preserve">Complete </w:t>
      </w:r>
      <w:r w:rsidRPr="0060012E">
        <w:rPr>
          <w:rFonts w:asciiTheme="minorHAnsi" w:hAnsiTheme="minorHAnsi"/>
          <w:b/>
          <w:bCs/>
          <w:lang w:val="en-AU" w:eastAsia="hr-HR"/>
        </w:rPr>
        <w:t>integration into the European Hydrogen Backbone</w:t>
      </w:r>
      <w:r w:rsidRPr="0060012E">
        <w:rPr>
          <w:rFonts w:asciiTheme="minorHAnsi" w:hAnsiTheme="minorHAnsi"/>
          <w:lang w:val="en-AU" w:eastAsia="hr-HR"/>
        </w:rPr>
        <w:t>, ensuring cross-border connectivity and trade.</w:t>
      </w:r>
    </w:p>
    <w:p w14:paraId="480ED5CF" w14:textId="77777777" w:rsidR="0060012E" w:rsidRPr="0060012E" w:rsidRDefault="0060012E" w:rsidP="00B63AA4">
      <w:pPr>
        <w:numPr>
          <w:ilvl w:val="0"/>
          <w:numId w:val="86"/>
        </w:numPr>
        <w:spacing w:before="100" w:beforeAutospacing="1" w:after="100" w:afterAutospacing="1"/>
        <w:ind w:right="0"/>
        <w:rPr>
          <w:rFonts w:asciiTheme="minorHAnsi" w:hAnsiTheme="minorHAnsi"/>
          <w:lang w:val="en-AU" w:eastAsia="hr-HR"/>
        </w:rPr>
      </w:pPr>
      <w:r w:rsidRPr="0060012E">
        <w:rPr>
          <w:rFonts w:asciiTheme="minorHAnsi" w:hAnsiTheme="minorHAnsi"/>
          <w:lang w:val="en-AU" w:eastAsia="hr-HR"/>
        </w:rPr>
        <w:t xml:space="preserve">Achieve widespread use of hydrogen across </w:t>
      </w:r>
      <w:r w:rsidRPr="0060012E">
        <w:rPr>
          <w:rFonts w:asciiTheme="minorHAnsi" w:hAnsiTheme="minorHAnsi"/>
          <w:b/>
          <w:bCs/>
          <w:lang w:val="en-AU" w:eastAsia="hr-HR"/>
        </w:rPr>
        <w:t>industry, transport, and energy sectors</w:t>
      </w:r>
      <w:r w:rsidRPr="0060012E">
        <w:rPr>
          <w:rFonts w:asciiTheme="minorHAnsi" w:hAnsiTheme="minorHAnsi"/>
          <w:lang w:val="en-AU" w:eastAsia="hr-HR"/>
        </w:rPr>
        <w:t>, ensuring a significant contribution to net-zero emissions.</w:t>
      </w:r>
    </w:p>
    <w:p w14:paraId="7C2D4461" w14:textId="77777777" w:rsidR="0060012E" w:rsidRPr="0060012E" w:rsidRDefault="0060012E" w:rsidP="00B63AA4">
      <w:pPr>
        <w:numPr>
          <w:ilvl w:val="0"/>
          <w:numId w:val="86"/>
        </w:numPr>
        <w:spacing w:before="100" w:beforeAutospacing="1" w:after="100" w:afterAutospacing="1"/>
        <w:ind w:right="0"/>
        <w:rPr>
          <w:rFonts w:asciiTheme="minorHAnsi" w:hAnsiTheme="minorHAnsi"/>
          <w:lang w:val="en-AU" w:eastAsia="hr-HR"/>
        </w:rPr>
      </w:pPr>
      <w:r w:rsidRPr="0060012E">
        <w:rPr>
          <w:rFonts w:asciiTheme="minorHAnsi" w:hAnsiTheme="minorHAnsi"/>
          <w:lang w:val="en-AU" w:eastAsia="hr-HR"/>
        </w:rPr>
        <w:t xml:space="preserve">Position Croatia as a </w:t>
      </w:r>
      <w:r w:rsidRPr="0060012E">
        <w:rPr>
          <w:rFonts w:asciiTheme="minorHAnsi" w:hAnsiTheme="minorHAnsi"/>
          <w:b/>
          <w:bCs/>
          <w:lang w:val="en-AU" w:eastAsia="hr-HR"/>
        </w:rPr>
        <w:t>centre of hydrogen technology, innovation, and export</w:t>
      </w:r>
      <w:r w:rsidRPr="0060012E">
        <w:rPr>
          <w:rFonts w:asciiTheme="minorHAnsi" w:hAnsiTheme="minorHAnsi"/>
          <w:lang w:val="en-AU" w:eastAsia="hr-HR"/>
        </w:rPr>
        <w:t xml:space="preserve"> within South-East Europe.</w:t>
      </w:r>
    </w:p>
    <w:p w14:paraId="1C9F77A2" w14:textId="77777777" w:rsidR="0060012E" w:rsidRPr="0060012E" w:rsidRDefault="0060012E" w:rsidP="00B63AA4">
      <w:pPr>
        <w:spacing w:before="100" w:beforeAutospacing="1" w:after="100" w:afterAutospacing="1"/>
        <w:ind w:left="0" w:right="0"/>
        <w:rPr>
          <w:rFonts w:asciiTheme="minorHAnsi" w:hAnsiTheme="minorHAnsi"/>
          <w:lang w:val="en-AU" w:eastAsia="hr-HR"/>
        </w:rPr>
      </w:pPr>
      <w:r w:rsidRPr="0060012E">
        <w:rPr>
          <w:rFonts w:asciiTheme="minorHAnsi" w:hAnsiTheme="minorHAnsi"/>
          <w:lang w:val="en-AU" w:eastAsia="hr-HR"/>
        </w:rPr>
        <w:t>The decade to 2030 is dedicated to laying the institutional, technological, and financial foundation of Croatia’s hydrogen economy. The focus is on enabling conditions, pilot deployment, and market activation.</w:t>
      </w:r>
    </w:p>
    <w:p w14:paraId="2CBD4823" w14:textId="77777777" w:rsidR="0060012E" w:rsidRPr="0060012E" w:rsidRDefault="0060012E" w:rsidP="00B63AA4">
      <w:pPr>
        <w:spacing w:before="100" w:beforeAutospacing="1" w:after="100" w:afterAutospacing="1"/>
        <w:ind w:left="0" w:right="0"/>
        <w:rPr>
          <w:rFonts w:asciiTheme="minorHAnsi" w:hAnsiTheme="minorHAnsi"/>
          <w:lang w:val="en-AU" w:eastAsia="hr-HR"/>
        </w:rPr>
      </w:pPr>
      <w:r w:rsidRPr="0060012E">
        <w:rPr>
          <w:rFonts w:asciiTheme="minorHAnsi" w:hAnsiTheme="minorHAnsi"/>
          <w:lang w:val="en-AU" w:eastAsia="hr-HR"/>
        </w:rPr>
        <w:t xml:space="preserve">Croatia will integrate hydrogen development into the revised </w:t>
      </w:r>
      <w:r w:rsidRPr="0060012E">
        <w:rPr>
          <w:rFonts w:asciiTheme="minorHAnsi" w:hAnsiTheme="minorHAnsi"/>
          <w:b/>
          <w:bCs/>
          <w:lang w:val="en-AU" w:eastAsia="hr-HR"/>
        </w:rPr>
        <w:t>Integrated National Energy and Climate Plan (NECP 2030)</w:t>
      </w:r>
      <w:r w:rsidRPr="0060012E">
        <w:rPr>
          <w:rFonts w:asciiTheme="minorHAnsi" w:hAnsiTheme="minorHAnsi"/>
          <w:lang w:val="en-AU" w:eastAsia="hr-HR"/>
        </w:rPr>
        <w:t xml:space="preserve">, ensuring that renewable hydrogen is recognised as a strategic energy vector supporting both decarbonisation and energy security. Spatial planning procedures will identify renewable energy zones and industrial areas suitable for electrolysis, storage, and hydrogen refuelling infrastructure, in line with </w:t>
      </w:r>
      <w:r w:rsidRPr="0060012E">
        <w:rPr>
          <w:rFonts w:asciiTheme="minorHAnsi" w:hAnsiTheme="minorHAnsi"/>
          <w:b/>
          <w:bCs/>
          <w:lang w:val="en-AU" w:eastAsia="hr-HR"/>
        </w:rPr>
        <w:t>RED III accelerated permitting provisions</w:t>
      </w:r>
      <w:r w:rsidRPr="0060012E">
        <w:rPr>
          <w:rFonts w:asciiTheme="minorHAnsi" w:hAnsiTheme="minorHAnsi"/>
          <w:lang w:val="en-AU" w:eastAsia="hr-HR"/>
        </w:rPr>
        <w:t>.</w:t>
      </w:r>
    </w:p>
    <w:p w14:paraId="748528B9" w14:textId="506CE7D4" w:rsidR="0060012E" w:rsidRPr="0060012E" w:rsidRDefault="0060012E" w:rsidP="00B63AA4">
      <w:pPr>
        <w:spacing w:before="100" w:beforeAutospacing="1" w:after="100" w:afterAutospacing="1"/>
        <w:ind w:left="0" w:right="0"/>
        <w:rPr>
          <w:rFonts w:asciiTheme="minorHAnsi" w:hAnsiTheme="minorHAnsi"/>
          <w:lang w:val="en-AU" w:eastAsia="hr-HR"/>
        </w:rPr>
      </w:pPr>
      <w:r w:rsidRPr="0060012E">
        <w:rPr>
          <w:rFonts w:asciiTheme="minorHAnsi" w:hAnsiTheme="minorHAnsi"/>
          <w:lang w:val="en-AU" w:eastAsia="hr-HR"/>
        </w:rPr>
        <w:t xml:space="preserve">The first stage of implementation will prioritise </w:t>
      </w:r>
      <w:r w:rsidRPr="0060012E">
        <w:rPr>
          <w:rFonts w:asciiTheme="minorHAnsi" w:hAnsiTheme="minorHAnsi"/>
          <w:b/>
          <w:bCs/>
          <w:lang w:val="en-AU" w:eastAsia="hr-HR"/>
        </w:rPr>
        <w:t>renewable hydrogen production plants</w:t>
      </w:r>
      <w:r w:rsidRPr="0060012E">
        <w:rPr>
          <w:rFonts w:asciiTheme="minorHAnsi" w:hAnsiTheme="minorHAnsi"/>
          <w:lang w:val="en-AU" w:eastAsia="hr-HR"/>
        </w:rPr>
        <w:t xml:space="preserve"> based on solar and wind power. Coastal areas such as </w:t>
      </w:r>
      <w:r w:rsidRPr="0060012E">
        <w:rPr>
          <w:rFonts w:asciiTheme="minorHAnsi" w:hAnsiTheme="minorHAnsi"/>
          <w:b/>
          <w:bCs/>
          <w:lang w:val="en-AU" w:eastAsia="hr-HR"/>
        </w:rPr>
        <w:t>Rijeka Bay and Dalmatia</w:t>
      </w:r>
      <w:r w:rsidRPr="0060012E">
        <w:rPr>
          <w:rFonts w:asciiTheme="minorHAnsi" w:hAnsiTheme="minorHAnsi"/>
          <w:lang w:val="en-AU" w:eastAsia="hr-HR"/>
        </w:rPr>
        <w:t xml:space="preserve"> will host hybrid wind–solar–electroly</w:t>
      </w:r>
      <w:r w:rsidR="00ED73F7">
        <w:rPr>
          <w:rFonts w:asciiTheme="minorHAnsi" w:hAnsiTheme="minorHAnsi"/>
          <w:lang w:val="en-AU" w:eastAsia="hr-HR"/>
        </w:rPr>
        <w:t>z</w:t>
      </w:r>
      <w:r w:rsidRPr="0060012E">
        <w:rPr>
          <w:rFonts w:asciiTheme="minorHAnsi" w:hAnsiTheme="minorHAnsi"/>
          <w:lang w:val="en-AU" w:eastAsia="hr-HR"/>
        </w:rPr>
        <w:t xml:space="preserve">er systems, while inland industrial zones such as </w:t>
      </w:r>
      <w:r w:rsidRPr="0060012E">
        <w:rPr>
          <w:rFonts w:asciiTheme="minorHAnsi" w:hAnsiTheme="minorHAnsi"/>
          <w:b/>
          <w:bCs/>
          <w:lang w:val="en-AU" w:eastAsia="hr-HR"/>
        </w:rPr>
        <w:t>Kutina and Zagreb</w:t>
      </w:r>
      <w:r w:rsidRPr="0060012E">
        <w:rPr>
          <w:rFonts w:asciiTheme="minorHAnsi" w:hAnsiTheme="minorHAnsi"/>
          <w:lang w:val="en-AU" w:eastAsia="hr-HR"/>
        </w:rPr>
        <w:t xml:space="preserve"> will integrate electroly</w:t>
      </w:r>
      <w:r w:rsidR="00ED73F7">
        <w:rPr>
          <w:rFonts w:asciiTheme="minorHAnsi" w:hAnsiTheme="minorHAnsi"/>
          <w:lang w:val="en-AU" w:eastAsia="hr-HR"/>
        </w:rPr>
        <w:t>z</w:t>
      </w:r>
      <w:r w:rsidRPr="0060012E">
        <w:rPr>
          <w:rFonts w:asciiTheme="minorHAnsi" w:hAnsiTheme="minorHAnsi"/>
          <w:lang w:val="en-AU" w:eastAsia="hr-HR"/>
        </w:rPr>
        <w:t>ers into existing facilities. The objective is to demonstrate fully renewable hydrogen supply chains combining generation, conversion, storage, and use.</w:t>
      </w:r>
    </w:p>
    <w:p w14:paraId="33784262" w14:textId="77777777" w:rsidR="0060012E" w:rsidRPr="0060012E" w:rsidRDefault="0060012E" w:rsidP="00B63AA4">
      <w:pPr>
        <w:spacing w:before="100" w:beforeAutospacing="1" w:after="100" w:afterAutospacing="1"/>
        <w:ind w:left="0" w:right="0"/>
        <w:rPr>
          <w:rFonts w:asciiTheme="minorHAnsi" w:hAnsiTheme="minorHAnsi"/>
          <w:lang w:val="en-AU" w:eastAsia="hr-HR"/>
        </w:rPr>
      </w:pPr>
      <w:r w:rsidRPr="0060012E">
        <w:rPr>
          <w:rFonts w:asciiTheme="minorHAnsi" w:hAnsiTheme="minorHAnsi"/>
          <w:lang w:val="en-AU" w:eastAsia="hr-HR"/>
        </w:rPr>
        <w:lastRenderedPageBreak/>
        <w:t xml:space="preserve">The </w:t>
      </w:r>
      <w:r w:rsidRPr="0060012E">
        <w:rPr>
          <w:rFonts w:asciiTheme="minorHAnsi" w:hAnsiTheme="minorHAnsi"/>
          <w:b/>
          <w:bCs/>
          <w:lang w:val="en-AU" w:eastAsia="hr-HR"/>
        </w:rPr>
        <w:t>development of hydrogen infrastructure</w:t>
      </w:r>
      <w:r w:rsidRPr="0060012E">
        <w:rPr>
          <w:rFonts w:asciiTheme="minorHAnsi" w:hAnsiTheme="minorHAnsi"/>
          <w:lang w:val="en-AU" w:eastAsia="hr-HR"/>
        </w:rPr>
        <w:t xml:space="preserve"> will proceed in parallel. Croatia will build a national network of </w:t>
      </w:r>
      <w:r w:rsidRPr="0060012E">
        <w:rPr>
          <w:rFonts w:asciiTheme="minorHAnsi" w:hAnsiTheme="minorHAnsi"/>
          <w:b/>
          <w:bCs/>
          <w:lang w:val="en-AU" w:eastAsia="hr-HR"/>
        </w:rPr>
        <w:t>hydrogen refuelling stations (HRS)</w:t>
      </w:r>
      <w:r w:rsidRPr="0060012E">
        <w:rPr>
          <w:rFonts w:asciiTheme="minorHAnsi" w:hAnsiTheme="minorHAnsi"/>
          <w:lang w:val="en-AU" w:eastAsia="hr-HR"/>
        </w:rPr>
        <w:t xml:space="preserve"> connecting key cities and highways in accordance with the </w:t>
      </w:r>
      <w:r w:rsidRPr="0060012E">
        <w:rPr>
          <w:rFonts w:asciiTheme="minorHAnsi" w:hAnsiTheme="minorHAnsi"/>
          <w:b/>
          <w:bCs/>
          <w:lang w:val="en-AU" w:eastAsia="hr-HR"/>
        </w:rPr>
        <w:t>Alternative Fuels Infrastructure Regulation (AFIR)</w:t>
      </w:r>
      <w:r w:rsidRPr="0060012E">
        <w:rPr>
          <w:rFonts w:asciiTheme="minorHAnsi" w:hAnsiTheme="minorHAnsi"/>
          <w:lang w:val="en-AU" w:eastAsia="hr-HR"/>
        </w:rPr>
        <w:t>. This network will serve as a catalyst for the introduction of hydrogen-powered buses, trucks, and passenger vehicles. Pilot hydrogen train projects on non-electrified lines will expand the concept to rail transport, while the maritime sector will test hydrogen ferries and port applications.</w:t>
      </w:r>
    </w:p>
    <w:p w14:paraId="27978923" w14:textId="77777777" w:rsidR="0060012E" w:rsidRPr="0060012E" w:rsidRDefault="0060012E" w:rsidP="00B63AA4">
      <w:pPr>
        <w:spacing w:before="100" w:beforeAutospacing="1" w:after="100" w:afterAutospacing="1"/>
        <w:ind w:left="0" w:right="0"/>
        <w:rPr>
          <w:rFonts w:asciiTheme="minorHAnsi" w:hAnsiTheme="minorHAnsi"/>
          <w:lang w:val="en-AU" w:eastAsia="hr-HR"/>
        </w:rPr>
      </w:pPr>
      <w:r w:rsidRPr="0060012E">
        <w:rPr>
          <w:rFonts w:asciiTheme="minorHAnsi" w:hAnsiTheme="minorHAnsi"/>
          <w:lang w:val="en-AU" w:eastAsia="hr-HR"/>
        </w:rPr>
        <w:t xml:space="preserve">Regulatory, institutional, and financial measures will be finalised to ensure market readiness. By 2030, Croatia will have transposed all relevant EU legislation, including the </w:t>
      </w:r>
      <w:r w:rsidRPr="0060012E">
        <w:rPr>
          <w:rFonts w:asciiTheme="minorHAnsi" w:hAnsiTheme="minorHAnsi"/>
          <w:b/>
          <w:bCs/>
          <w:lang w:val="en-AU" w:eastAsia="hr-HR"/>
        </w:rPr>
        <w:t>Renewable Energy Directive (RED III)</w:t>
      </w:r>
      <w:r w:rsidRPr="0060012E">
        <w:rPr>
          <w:rFonts w:asciiTheme="minorHAnsi" w:hAnsiTheme="minorHAnsi"/>
          <w:lang w:val="en-AU" w:eastAsia="hr-HR"/>
        </w:rPr>
        <w:t xml:space="preserve">, </w:t>
      </w:r>
      <w:r w:rsidRPr="0060012E">
        <w:rPr>
          <w:rFonts w:asciiTheme="minorHAnsi" w:hAnsiTheme="minorHAnsi"/>
          <w:b/>
          <w:bCs/>
          <w:lang w:val="en-AU" w:eastAsia="hr-HR"/>
        </w:rPr>
        <w:t>Hydrogen and Decarbonised Gas Market Package</w:t>
      </w:r>
      <w:r w:rsidRPr="0060012E">
        <w:rPr>
          <w:rFonts w:asciiTheme="minorHAnsi" w:hAnsiTheme="minorHAnsi"/>
          <w:lang w:val="en-AU" w:eastAsia="hr-HR"/>
        </w:rPr>
        <w:t xml:space="preserve">, </w:t>
      </w:r>
      <w:r w:rsidRPr="0060012E">
        <w:rPr>
          <w:rFonts w:asciiTheme="minorHAnsi" w:hAnsiTheme="minorHAnsi"/>
          <w:b/>
          <w:bCs/>
          <w:lang w:val="en-AU" w:eastAsia="hr-HR"/>
        </w:rPr>
        <w:t>ReFuelEU Aviation</w:t>
      </w:r>
      <w:r w:rsidRPr="0060012E">
        <w:rPr>
          <w:rFonts w:asciiTheme="minorHAnsi" w:hAnsiTheme="minorHAnsi"/>
          <w:lang w:val="en-AU" w:eastAsia="hr-HR"/>
        </w:rPr>
        <w:t xml:space="preserve">, and </w:t>
      </w:r>
      <w:r w:rsidRPr="0060012E">
        <w:rPr>
          <w:rFonts w:asciiTheme="minorHAnsi" w:hAnsiTheme="minorHAnsi"/>
          <w:b/>
          <w:bCs/>
          <w:lang w:val="en-AU" w:eastAsia="hr-HR"/>
        </w:rPr>
        <w:t>FuelEU Maritime</w:t>
      </w:r>
      <w:r w:rsidRPr="0060012E">
        <w:rPr>
          <w:rFonts w:asciiTheme="minorHAnsi" w:hAnsiTheme="minorHAnsi"/>
          <w:lang w:val="en-AU" w:eastAsia="hr-HR"/>
        </w:rPr>
        <w:t xml:space="preserve">. The </w:t>
      </w:r>
      <w:r w:rsidRPr="0060012E">
        <w:rPr>
          <w:rFonts w:asciiTheme="minorHAnsi" w:hAnsiTheme="minorHAnsi"/>
          <w:b/>
          <w:bCs/>
          <w:lang w:val="en-AU" w:eastAsia="hr-HR"/>
        </w:rPr>
        <w:t>Croatian Hydrocarbon Agency (CHA)</w:t>
      </w:r>
      <w:r w:rsidRPr="0060012E">
        <w:rPr>
          <w:rFonts w:asciiTheme="minorHAnsi" w:hAnsiTheme="minorHAnsi"/>
          <w:lang w:val="en-AU" w:eastAsia="hr-HR"/>
        </w:rPr>
        <w:t xml:space="preserve"> will coordinate the national system for </w:t>
      </w:r>
      <w:r w:rsidRPr="0060012E">
        <w:rPr>
          <w:rFonts w:asciiTheme="minorHAnsi" w:hAnsiTheme="minorHAnsi"/>
          <w:b/>
          <w:bCs/>
          <w:lang w:val="en-AU" w:eastAsia="hr-HR"/>
        </w:rPr>
        <w:t>certification and guarantees of origin (GO)</w:t>
      </w:r>
      <w:r w:rsidRPr="0060012E">
        <w:rPr>
          <w:rFonts w:asciiTheme="minorHAnsi" w:hAnsiTheme="minorHAnsi"/>
          <w:lang w:val="en-AU" w:eastAsia="hr-HR"/>
        </w:rPr>
        <w:t xml:space="preserve"> for renewable hydrogen and other renewable fuels of non-biological origin (RFNBOs). A </w:t>
      </w:r>
      <w:r w:rsidRPr="0060012E">
        <w:rPr>
          <w:rFonts w:asciiTheme="minorHAnsi" w:hAnsiTheme="minorHAnsi"/>
          <w:b/>
          <w:bCs/>
          <w:lang w:val="en-AU" w:eastAsia="hr-HR"/>
        </w:rPr>
        <w:t>national premium mechanism</w:t>
      </w:r>
      <w:r w:rsidRPr="0060012E">
        <w:rPr>
          <w:rFonts w:asciiTheme="minorHAnsi" w:hAnsiTheme="minorHAnsi"/>
          <w:lang w:val="en-AU" w:eastAsia="hr-HR"/>
        </w:rPr>
        <w:t xml:space="preserve"> will support investors and ensure cost parity with fossil-based alternatives.</w:t>
      </w:r>
    </w:p>
    <w:p w14:paraId="7B74CDE4" w14:textId="7D068535" w:rsidR="0060012E" w:rsidRPr="0060012E" w:rsidRDefault="0060012E" w:rsidP="00B63AA4">
      <w:pPr>
        <w:spacing w:before="100" w:beforeAutospacing="1" w:after="100" w:afterAutospacing="1"/>
        <w:ind w:left="0" w:right="0"/>
        <w:rPr>
          <w:rFonts w:asciiTheme="minorHAnsi" w:hAnsiTheme="minorHAnsi"/>
          <w:lang w:val="en-AU" w:eastAsia="hr-HR"/>
        </w:rPr>
      </w:pPr>
      <w:r w:rsidRPr="0060012E">
        <w:rPr>
          <w:rFonts w:asciiTheme="minorHAnsi" w:hAnsiTheme="minorHAnsi"/>
          <w:lang w:val="en-AU" w:eastAsia="hr-HR"/>
        </w:rPr>
        <w:t xml:space="preserve">Investment and financing will rely on strong alignment with European mechanisms. Funding will be mobilised through the </w:t>
      </w:r>
      <w:r w:rsidRPr="0060012E">
        <w:rPr>
          <w:rFonts w:asciiTheme="minorHAnsi" w:hAnsiTheme="minorHAnsi"/>
          <w:b/>
          <w:bCs/>
          <w:lang w:val="en-AU" w:eastAsia="hr-HR"/>
        </w:rPr>
        <w:t>National Recovery and Resilience Plan (NRRP)</w:t>
      </w:r>
      <w:r w:rsidRPr="0060012E">
        <w:rPr>
          <w:rFonts w:asciiTheme="minorHAnsi" w:hAnsiTheme="minorHAnsi"/>
          <w:lang w:val="en-AU" w:eastAsia="hr-HR"/>
        </w:rPr>
        <w:t xml:space="preserve">, </w:t>
      </w:r>
      <w:r w:rsidRPr="0060012E">
        <w:rPr>
          <w:rFonts w:asciiTheme="minorHAnsi" w:hAnsiTheme="minorHAnsi"/>
          <w:b/>
          <w:bCs/>
          <w:lang w:val="en-AU" w:eastAsia="hr-HR"/>
        </w:rPr>
        <w:t>Connecting Europe Facility (CEF)</w:t>
      </w:r>
      <w:r w:rsidRPr="0060012E">
        <w:rPr>
          <w:rFonts w:asciiTheme="minorHAnsi" w:hAnsiTheme="minorHAnsi"/>
          <w:lang w:val="en-AU" w:eastAsia="hr-HR"/>
        </w:rPr>
        <w:t xml:space="preserve">, </w:t>
      </w:r>
      <w:r w:rsidRPr="0060012E">
        <w:rPr>
          <w:rFonts w:asciiTheme="minorHAnsi" w:hAnsiTheme="minorHAnsi"/>
          <w:b/>
          <w:bCs/>
          <w:lang w:val="en-AU" w:eastAsia="hr-HR"/>
        </w:rPr>
        <w:t>Innovation Fund</w:t>
      </w:r>
      <w:r w:rsidRPr="0060012E">
        <w:rPr>
          <w:rFonts w:asciiTheme="minorHAnsi" w:hAnsiTheme="minorHAnsi"/>
          <w:lang w:val="en-AU" w:eastAsia="hr-HR"/>
        </w:rPr>
        <w:t xml:space="preserve">, </w:t>
      </w:r>
      <w:r w:rsidRPr="0060012E">
        <w:rPr>
          <w:rFonts w:asciiTheme="minorHAnsi" w:hAnsiTheme="minorHAnsi"/>
          <w:b/>
          <w:bCs/>
          <w:lang w:val="en-AU" w:eastAsia="hr-HR"/>
        </w:rPr>
        <w:t>Horizon Europe</w:t>
      </w:r>
      <w:r w:rsidRPr="0060012E">
        <w:rPr>
          <w:rFonts w:asciiTheme="minorHAnsi" w:hAnsiTheme="minorHAnsi"/>
          <w:lang w:val="en-AU" w:eastAsia="hr-HR"/>
        </w:rPr>
        <w:t xml:space="preserve">, and the </w:t>
      </w:r>
      <w:r w:rsidRPr="0060012E">
        <w:rPr>
          <w:rFonts w:asciiTheme="minorHAnsi" w:hAnsiTheme="minorHAnsi"/>
          <w:b/>
          <w:bCs/>
          <w:lang w:val="en-AU" w:eastAsia="hr-HR"/>
        </w:rPr>
        <w:t>Important Projects of Common European Interest (IPCEI Hydrogen)</w:t>
      </w:r>
      <w:r w:rsidRPr="0060012E">
        <w:rPr>
          <w:rFonts w:asciiTheme="minorHAnsi" w:hAnsiTheme="minorHAnsi"/>
          <w:lang w:val="en-AU" w:eastAsia="hr-HR"/>
        </w:rPr>
        <w:t>. Croatia will promote public–private partnerships to accelerate the deployment of electroly</w:t>
      </w:r>
      <w:r w:rsidR="00CE406F">
        <w:rPr>
          <w:rFonts w:asciiTheme="minorHAnsi" w:hAnsiTheme="minorHAnsi"/>
          <w:lang w:val="en-AU" w:eastAsia="hr-HR"/>
        </w:rPr>
        <w:t>z</w:t>
      </w:r>
      <w:r w:rsidRPr="0060012E">
        <w:rPr>
          <w:rFonts w:asciiTheme="minorHAnsi" w:hAnsiTheme="minorHAnsi"/>
          <w:lang w:val="en-AU" w:eastAsia="hr-HR"/>
        </w:rPr>
        <w:t>er capacity, infrastructure, and industrial conversion projects.</w:t>
      </w:r>
    </w:p>
    <w:p w14:paraId="4B0B9D49" w14:textId="7E31303F" w:rsidR="0060012E" w:rsidRPr="0060012E" w:rsidRDefault="0060012E" w:rsidP="00B63AA4">
      <w:pPr>
        <w:spacing w:before="100" w:beforeAutospacing="1" w:after="100" w:afterAutospacing="1"/>
        <w:ind w:left="0" w:right="0"/>
        <w:rPr>
          <w:rFonts w:asciiTheme="minorHAnsi" w:hAnsiTheme="minorHAnsi"/>
          <w:lang w:val="en-AU" w:eastAsia="hr-HR"/>
        </w:rPr>
      </w:pPr>
      <w:r w:rsidRPr="0060012E">
        <w:rPr>
          <w:rFonts w:asciiTheme="minorHAnsi" w:hAnsiTheme="minorHAnsi"/>
          <w:lang w:val="en-AU" w:eastAsia="hr-HR"/>
        </w:rPr>
        <w:t xml:space="preserve">Research and innovation will underpin this early phase. Croatia’s universities and research institutions, in cooperation with industry, will focus on </w:t>
      </w:r>
      <w:r w:rsidRPr="0060012E">
        <w:rPr>
          <w:rFonts w:asciiTheme="minorHAnsi" w:hAnsiTheme="minorHAnsi"/>
          <w:b/>
          <w:bCs/>
          <w:lang w:val="en-AU" w:eastAsia="hr-HR"/>
        </w:rPr>
        <w:t>electroly</w:t>
      </w:r>
      <w:r w:rsidR="00CE406F">
        <w:rPr>
          <w:rFonts w:asciiTheme="minorHAnsi" w:hAnsiTheme="minorHAnsi"/>
          <w:b/>
          <w:bCs/>
          <w:lang w:val="en-AU" w:eastAsia="hr-HR"/>
        </w:rPr>
        <w:t>z</w:t>
      </w:r>
      <w:r w:rsidRPr="0060012E">
        <w:rPr>
          <w:rFonts w:asciiTheme="minorHAnsi" w:hAnsiTheme="minorHAnsi"/>
          <w:b/>
          <w:bCs/>
          <w:lang w:val="en-AU" w:eastAsia="hr-HR"/>
        </w:rPr>
        <w:t xml:space="preserve">er technologies, </w:t>
      </w:r>
      <w:r w:rsidR="00CE406F">
        <w:rPr>
          <w:rFonts w:asciiTheme="minorHAnsi" w:hAnsiTheme="minorHAnsi"/>
          <w:b/>
          <w:bCs/>
          <w:lang w:val="en-AU" w:eastAsia="hr-HR"/>
        </w:rPr>
        <w:t xml:space="preserve">fuel cells, </w:t>
      </w:r>
      <w:r w:rsidRPr="0060012E">
        <w:rPr>
          <w:rFonts w:asciiTheme="minorHAnsi" w:hAnsiTheme="minorHAnsi"/>
          <w:b/>
          <w:bCs/>
          <w:lang w:val="en-AU" w:eastAsia="hr-HR"/>
        </w:rPr>
        <w:t>hydrogen storage, and power-to-X applications</w:t>
      </w:r>
      <w:r w:rsidRPr="0060012E">
        <w:rPr>
          <w:rFonts w:asciiTheme="minorHAnsi" w:hAnsiTheme="minorHAnsi"/>
          <w:lang w:val="en-AU" w:eastAsia="hr-HR"/>
        </w:rPr>
        <w:t>. These efforts will be coordinated with European research initiatives to ensure rapid knowledge transfer and cost reduction.</w:t>
      </w:r>
    </w:p>
    <w:p w14:paraId="179DE44C" w14:textId="77777777" w:rsidR="0060012E" w:rsidRPr="0060012E" w:rsidRDefault="0060012E" w:rsidP="00B63AA4">
      <w:pPr>
        <w:spacing w:before="100" w:beforeAutospacing="1" w:after="100" w:afterAutospacing="1"/>
        <w:ind w:left="0" w:right="0"/>
        <w:rPr>
          <w:rFonts w:asciiTheme="minorHAnsi" w:hAnsiTheme="minorHAnsi"/>
          <w:lang w:val="en-AU" w:eastAsia="hr-HR"/>
        </w:rPr>
      </w:pPr>
      <w:r w:rsidRPr="0060012E">
        <w:rPr>
          <w:rFonts w:asciiTheme="minorHAnsi" w:hAnsiTheme="minorHAnsi"/>
          <w:lang w:val="en-AU" w:eastAsia="hr-HR"/>
        </w:rPr>
        <w:t>Public awareness and capacity-building programmes will be implemented to ensure the safe and socially acceptable introduction of hydrogen technologies. Educational campaigns, technical training, and certification schemes will prepare a skilled workforce for operation, maintenance, and safety management.</w:t>
      </w:r>
    </w:p>
    <w:p w14:paraId="1F4BE4DE" w14:textId="77777777" w:rsidR="0060012E" w:rsidRPr="0060012E" w:rsidRDefault="0060012E" w:rsidP="00B63AA4">
      <w:pPr>
        <w:spacing w:before="100" w:beforeAutospacing="1" w:after="100" w:afterAutospacing="1"/>
        <w:ind w:left="0" w:right="0"/>
        <w:rPr>
          <w:rFonts w:asciiTheme="minorHAnsi" w:hAnsiTheme="minorHAnsi"/>
          <w:lang w:val="en-AU" w:eastAsia="hr-HR"/>
        </w:rPr>
      </w:pPr>
      <w:r w:rsidRPr="0060012E">
        <w:rPr>
          <w:rFonts w:asciiTheme="minorHAnsi" w:hAnsiTheme="minorHAnsi"/>
          <w:lang w:val="en-AU" w:eastAsia="hr-HR"/>
        </w:rPr>
        <w:t>By the end of 2030, Croatia is expected to have a functioning hydrogen ecosystem with operational pilot projects in transport and industry, a fully compliant regulatory framework, and the first integrated renewable hydrogen production facilities. These developments will provide a robust foundation for large-scale deployment after 2030.</w:t>
      </w:r>
    </w:p>
    <w:p w14:paraId="7BB60232" w14:textId="77777777" w:rsidR="0060012E" w:rsidRPr="0060012E" w:rsidRDefault="0060012E" w:rsidP="00B63AA4">
      <w:pPr>
        <w:spacing w:before="100" w:beforeAutospacing="1" w:after="100" w:afterAutospacing="1"/>
        <w:ind w:left="0" w:right="0"/>
        <w:rPr>
          <w:rFonts w:asciiTheme="minorHAnsi" w:hAnsiTheme="minorHAnsi"/>
          <w:lang w:val="en-AU" w:eastAsia="hr-HR"/>
        </w:rPr>
      </w:pPr>
      <w:r w:rsidRPr="0060012E">
        <w:rPr>
          <w:rFonts w:asciiTheme="minorHAnsi" w:hAnsiTheme="minorHAnsi"/>
          <w:lang w:val="en-AU" w:eastAsia="hr-HR"/>
        </w:rPr>
        <w:t>The period from 2030 to 2050 represents the scaling-up and integration phase, when hydrogen will transition from a niche technology into a cornerstone of Croatia’s decarbonised energy system.</w:t>
      </w:r>
    </w:p>
    <w:p w14:paraId="107F4209" w14:textId="77777777" w:rsidR="0060012E" w:rsidRPr="0060012E" w:rsidRDefault="0060012E" w:rsidP="00B63AA4">
      <w:pPr>
        <w:spacing w:before="100" w:beforeAutospacing="1" w:after="100" w:afterAutospacing="1"/>
        <w:ind w:left="0" w:right="0"/>
        <w:rPr>
          <w:rFonts w:asciiTheme="minorHAnsi" w:hAnsiTheme="minorHAnsi"/>
          <w:lang w:val="en-AU" w:eastAsia="hr-HR"/>
        </w:rPr>
      </w:pPr>
      <w:r w:rsidRPr="0060012E">
        <w:rPr>
          <w:rFonts w:asciiTheme="minorHAnsi" w:hAnsiTheme="minorHAnsi"/>
          <w:lang w:val="en-AU" w:eastAsia="hr-HR"/>
        </w:rPr>
        <w:t xml:space="preserve">The country’s ambition is to become a </w:t>
      </w:r>
      <w:r w:rsidRPr="0060012E">
        <w:rPr>
          <w:rFonts w:asciiTheme="minorHAnsi" w:hAnsiTheme="minorHAnsi"/>
          <w:b/>
          <w:bCs/>
          <w:lang w:val="en-AU" w:eastAsia="hr-HR"/>
        </w:rPr>
        <w:t>regional hub for renewable hydrogen production, storage, and trade</w:t>
      </w:r>
      <w:r w:rsidRPr="0060012E">
        <w:rPr>
          <w:rFonts w:asciiTheme="minorHAnsi" w:hAnsiTheme="minorHAnsi"/>
          <w:lang w:val="en-AU" w:eastAsia="hr-HR"/>
        </w:rPr>
        <w:t xml:space="preserve"> within the framework of the </w:t>
      </w:r>
      <w:r w:rsidRPr="0060012E">
        <w:rPr>
          <w:rFonts w:asciiTheme="minorHAnsi" w:hAnsiTheme="minorHAnsi"/>
          <w:b/>
          <w:bCs/>
          <w:lang w:val="en-AU" w:eastAsia="hr-HR"/>
        </w:rPr>
        <w:t>European Hydrogen Backbone (EHB)</w:t>
      </w:r>
      <w:r w:rsidRPr="0060012E">
        <w:rPr>
          <w:rFonts w:asciiTheme="minorHAnsi" w:hAnsiTheme="minorHAnsi"/>
          <w:lang w:val="en-AU" w:eastAsia="hr-HR"/>
        </w:rPr>
        <w:t>. Existing natural gas pipelines will be repurposed for hydrogen transmission, and new dedicated pipelines—</w:t>
      </w:r>
      <w:r w:rsidRPr="0060012E">
        <w:rPr>
          <w:rFonts w:asciiTheme="minorHAnsi" w:hAnsiTheme="minorHAnsi"/>
          <w:b/>
          <w:bCs/>
          <w:lang w:val="en-AU" w:eastAsia="hr-HR"/>
        </w:rPr>
        <w:t>Croatia-North and Croatia-South corridors</w:t>
      </w:r>
      <w:r w:rsidRPr="0060012E">
        <w:rPr>
          <w:rFonts w:asciiTheme="minorHAnsi" w:hAnsiTheme="minorHAnsi"/>
          <w:lang w:val="en-AU" w:eastAsia="hr-HR"/>
        </w:rPr>
        <w:t xml:space="preserve">—will connect domestic hubs with international systems in Slovenia, Hungary, and beyond. The </w:t>
      </w:r>
      <w:r w:rsidRPr="0060012E">
        <w:rPr>
          <w:rFonts w:asciiTheme="minorHAnsi" w:hAnsiTheme="minorHAnsi"/>
          <w:b/>
          <w:bCs/>
          <w:lang w:val="en-AU" w:eastAsia="hr-HR"/>
        </w:rPr>
        <w:t>Port of Rijeka</w:t>
      </w:r>
      <w:r w:rsidRPr="0060012E">
        <w:rPr>
          <w:rFonts w:asciiTheme="minorHAnsi" w:hAnsiTheme="minorHAnsi"/>
          <w:lang w:val="en-AU" w:eastAsia="hr-HR"/>
        </w:rPr>
        <w:t xml:space="preserve"> and the </w:t>
      </w:r>
      <w:r w:rsidRPr="0060012E">
        <w:rPr>
          <w:rFonts w:asciiTheme="minorHAnsi" w:hAnsiTheme="minorHAnsi"/>
          <w:b/>
          <w:bCs/>
          <w:lang w:val="en-AU" w:eastAsia="hr-HR"/>
        </w:rPr>
        <w:t>Krk LNG terminal</w:t>
      </w:r>
      <w:r w:rsidRPr="0060012E">
        <w:rPr>
          <w:rFonts w:asciiTheme="minorHAnsi" w:hAnsiTheme="minorHAnsi"/>
          <w:lang w:val="en-AU" w:eastAsia="hr-HR"/>
        </w:rPr>
        <w:t xml:space="preserve"> will evolve into import–export terminals for hydrogen and ammonia, establishing Croatia as a gateway for renewable hydrogen flows in South-East Europe.</w:t>
      </w:r>
    </w:p>
    <w:p w14:paraId="7D150F22" w14:textId="77777777" w:rsidR="0060012E" w:rsidRPr="0060012E" w:rsidRDefault="0060012E" w:rsidP="00B63AA4">
      <w:pPr>
        <w:spacing w:before="100" w:beforeAutospacing="1" w:after="100" w:afterAutospacing="1"/>
        <w:ind w:left="0" w:right="0"/>
        <w:rPr>
          <w:rFonts w:asciiTheme="minorHAnsi" w:hAnsiTheme="minorHAnsi"/>
          <w:lang w:val="en-AU" w:eastAsia="hr-HR"/>
        </w:rPr>
      </w:pPr>
      <w:r w:rsidRPr="0060012E">
        <w:rPr>
          <w:rFonts w:asciiTheme="minorHAnsi" w:hAnsiTheme="minorHAnsi"/>
          <w:lang w:val="en-AU" w:eastAsia="hr-HR"/>
        </w:rPr>
        <w:t xml:space="preserve">By 2050, large-scale hydrogen storage facilities will operate in </w:t>
      </w:r>
      <w:r w:rsidRPr="0060012E">
        <w:rPr>
          <w:rFonts w:asciiTheme="minorHAnsi" w:hAnsiTheme="minorHAnsi"/>
          <w:b/>
          <w:bCs/>
          <w:lang w:val="en-AU" w:eastAsia="hr-HR"/>
        </w:rPr>
        <w:t>depleted gas fields and saline aquifers</w:t>
      </w:r>
      <w:r w:rsidRPr="0060012E">
        <w:rPr>
          <w:rFonts w:asciiTheme="minorHAnsi" w:hAnsiTheme="minorHAnsi"/>
          <w:lang w:val="en-AU" w:eastAsia="hr-HR"/>
        </w:rPr>
        <w:t xml:space="preserve">, providing seasonal flexibility and enhancing energy security. Hydrogen will also serve as a grid-balancing mechanism, converting surplus renewable electricity into storable energy and reconverting it to power during peak demand through </w:t>
      </w:r>
      <w:r w:rsidRPr="0060012E">
        <w:rPr>
          <w:rFonts w:asciiTheme="minorHAnsi" w:hAnsiTheme="minorHAnsi"/>
          <w:b/>
          <w:bCs/>
          <w:lang w:val="en-AU" w:eastAsia="hr-HR"/>
        </w:rPr>
        <w:t>hydrogen-ready gas turbines</w:t>
      </w:r>
      <w:r w:rsidRPr="0060012E">
        <w:rPr>
          <w:rFonts w:asciiTheme="minorHAnsi" w:hAnsiTheme="minorHAnsi"/>
          <w:lang w:val="en-AU" w:eastAsia="hr-HR"/>
        </w:rPr>
        <w:t xml:space="preserve"> and </w:t>
      </w:r>
      <w:r w:rsidRPr="0060012E">
        <w:rPr>
          <w:rFonts w:asciiTheme="minorHAnsi" w:hAnsiTheme="minorHAnsi"/>
          <w:b/>
          <w:bCs/>
          <w:lang w:val="en-AU" w:eastAsia="hr-HR"/>
        </w:rPr>
        <w:t>fuel cells</w:t>
      </w:r>
      <w:r w:rsidRPr="0060012E">
        <w:rPr>
          <w:rFonts w:asciiTheme="minorHAnsi" w:hAnsiTheme="minorHAnsi"/>
          <w:lang w:val="en-AU" w:eastAsia="hr-HR"/>
        </w:rPr>
        <w:t>.</w:t>
      </w:r>
    </w:p>
    <w:p w14:paraId="2BF29093" w14:textId="77777777" w:rsidR="0060012E" w:rsidRPr="0060012E" w:rsidRDefault="0060012E" w:rsidP="00B63AA4">
      <w:pPr>
        <w:spacing w:before="100" w:beforeAutospacing="1" w:after="100" w:afterAutospacing="1"/>
        <w:ind w:left="0" w:right="0"/>
        <w:rPr>
          <w:rFonts w:asciiTheme="minorHAnsi" w:hAnsiTheme="minorHAnsi"/>
          <w:lang w:val="en-AU" w:eastAsia="hr-HR"/>
        </w:rPr>
      </w:pPr>
      <w:r w:rsidRPr="0060012E">
        <w:rPr>
          <w:rFonts w:asciiTheme="minorHAnsi" w:hAnsiTheme="minorHAnsi"/>
          <w:lang w:val="en-AU" w:eastAsia="hr-HR"/>
        </w:rPr>
        <w:lastRenderedPageBreak/>
        <w:t xml:space="preserve">Industrial decarbonisation will reach full maturity. Hydrogen will substitute fossil fuels and feedstocks in </w:t>
      </w:r>
      <w:r w:rsidRPr="0060012E">
        <w:rPr>
          <w:rFonts w:asciiTheme="minorHAnsi" w:hAnsiTheme="minorHAnsi"/>
          <w:b/>
          <w:bCs/>
          <w:lang w:val="en-AU" w:eastAsia="hr-HR"/>
        </w:rPr>
        <w:t>fertiliser production, cement, glass, steel, and chemicals</w:t>
      </w:r>
      <w:r w:rsidRPr="0060012E">
        <w:rPr>
          <w:rFonts w:asciiTheme="minorHAnsi" w:hAnsiTheme="minorHAnsi"/>
          <w:lang w:val="en-AU" w:eastAsia="hr-HR"/>
        </w:rPr>
        <w:t xml:space="preserve">, supported by </w:t>
      </w:r>
      <w:r w:rsidRPr="0060012E">
        <w:rPr>
          <w:rFonts w:asciiTheme="minorHAnsi" w:hAnsiTheme="minorHAnsi"/>
          <w:b/>
          <w:bCs/>
          <w:lang w:val="en-AU" w:eastAsia="hr-HR"/>
        </w:rPr>
        <w:t>carbon pricing, Contracts for Difference (CfDs), and green procurement frameworks</w:t>
      </w:r>
      <w:r w:rsidRPr="0060012E">
        <w:rPr>
          <w:rFonts w:asciiTheme="minorHAnsi" w:hAnsiTheme="minorHAnsi"/>
          <w:lang w:val="en-AU" w:eastAsia="hr-HR"/>
        </w:rPr>
        <w:t>. By 2050, renewable hydrogen will be the dominant energy source in these sectors, contributing significantly to Croatia’s emission reduction targets.</w:t>
      </w:r>
    </w:p>
    <w:p w14:paraId="13A12FBF" w14:textId="77777777" w:rsidR="0060012E" w:rsidRPr="0060012E" w:rsidRDefault="0060012E" w:rsidP="00B63AA4">
      <w:pPr>
        <w:spacing w:before="100" w:beforeAutospacing="1" w:after="100" w:afterAutospacing="1"/>
        <w:ind w:left="0" w:right="0"/>
        <w:rPr>
          <w:rFonts w:asciiTheme="minorHAnsi" w:hAnsiTheme="minorHAnsi"/>
          <w:lang w:val="en-AU" w:eastAsia="hr-HR"/>
        </w:rPr>
      </w:pPr>
      <w:r w:rsidRPr="0060012E">
        <w:rPr>
          <w:rFonts w:asciiTheme="minorHAnsi" w:hAnsiTheme="minorHAnsi"/>
          <w:lang w:val="en-AU" w:eastAsia="hr-HR"/>
        </w:rPr>
        <w:t xml:space="preserve">Transport will undergo complete transformation. Hydrogen will fuel a major share of heavy-duty road transport, bus fleets, and passenger vehicles, and will become integral in </w:t>
      </w:r>
      <w:r w:rsidRPr="0060012E">
        <w:rPr>
          <w:rFonts w:asciiTheme="minorHAnsi" w:hAnsiTheme="minorHAnsi"/>
          <w:b/>
          <w:bCs/>
          <w:lang w:val="en-AU" w:eastAsia="hr-HR"/>
        </w:rPr>
        <w:t>rail, maritime, and aviation</w:t>
      </w:r>
      <w:r w:rsidRPr="0060012E">
        <w:rPr>
          <w:rFonts w:asciiTheme="minorHAnsi" w:hAnsiTheme="minorHAnsi"/>
          <w:lang w:val="en-AU" w:eastAsia="hr-HR"/>
        </w:rPr>
        <w:t xml:space="preserve">. Hydrogen-derived synthetic fuels will power ships and aircraft in line with </w:t>
      </w:r>
      <w:r w:rsidRPr="0060012E">
        <w:rPr>
          <w:rFonts w:asciiTheme="minorHAnsi" w:hAnsiTheme="minorHAnsi"/>
          <w:b/>
          <w:bCs/>
          <w:lang w:val="en-AU" w:eastAsia="hr-HR"/>
        </w:rPr>
        <w:t>FuelEU Maritime</w:t>
      </w:r>
      <w:r w:rsidRPr="0060012E">
        <w:rPr>
          <w:rFonts w:asciiTheme="minorHAnsi" w:hAnsiTheme="minorHAnsi"/>
          <w:lang w:val="en-AU" w:eastAsia="hr-HR"/>
        </w:rPr>
        <w:t xml:space="preserve"> and </w:t>
      </w:r>
      <w:r w:rsidRPr="0060012E">
        <w:rPr>
          <w:rFonts w:asciiTheme="minorHAnsi" w:hAnsiTheme="minorHAnsi"/>
          <w:b/>
          <w:bCs/>
          <w:lang w:val="en-AU" w:eastAsia="hr-HR"/>
        </w:rPr>
        <w:t>ReFuelEU Aviation</w:t>
      </w:r>
      <w:r w:rsidRPr="0060012E">
        <w:rPr>
          <w:rFonts w:asciiTheme="minorHAnsi" w:hAnsiTheme="minorHAnsi"/>
          <w:lang w:val="en-AU" w:eastAsia="hr-HR"/>
        </w:rPr>
        <w:t xml:space="preserve"> requirements.</w:t>
      </w:r>
    </w:p>
    <w:p w14:paraId="29B16BC9" w14:textId="77777777" w:rsidR="0060012E" w:rsidRPr="0060012E" w:rsidRDefault="0060012E" w:rsidP="00B63AA4">
      <w:pPr>
        <w:spacing w:before="100" w:beforeAutospacing="1" w:after="100" w:afterAutospacing="1"/>
        <w:ind w:left="0" w:right="0"/>
        <w:rPr>
          <w:rFonts w:asciiTheme="minorHAnsi" w:hAnsiTheme="minorHAnsi"/>
          <w:lang w:val="en-AU" w:eastAsia="hr-HR"/>
        </w:rPr>
      </w:pPr>
      <w:r w:rsidRPr="0060012E">
        <w:rPr>
          <w:rFonts w:asciiTheme="minorHAnsi" w:hAnsiTheme="minorHAnsi"/>
          <w:lang w:val="en-AU" w:eastAsia="hr-HR"/>
        </w:rPr>
        <w:t xml:space="preserve">The national energy system will evolve into a </w:t>
      </w:r>
      <w:r w:rsidRPr="0060012E">
        <w:rPr>
          <w:rFonts w:asciiTheme="minorHAnsi" w:hAnsiTheme="minorHAnsi"/>
          <w:b/>
          <w:bCs/>
          <w:lang w:val="en-AU" w:eastAsia="hr-HR"/>
        </w:rPr>
        <w:t>fully integrated hydrogen–electricity–heat network</w:t>
      </w:r>
      <w:r w:rsidRPr="0060012E">
        <w:rPr>
          <w:rFonts w:asciiTheme="minorHAnsi" w:hAnsiTheme="minorHAnsi"/>
          <w:lang w:val="en-AU" w:eastAsia="hr-HR"/>
        </w:rPr>
        <w:t>, where hydrogen acts as a flexible energy carrier supporting grid stability and district heating decarbonisation. Hydrogen blending in gas networks will gradually phase out as dedicated hydrogen infrastructure expands.</w:t>
      </w:r>
    </w:p>
    <w:p w14:paraId="1680B6BE" w14:textId="77777777" w:rsidR="0060012E" w:rsidRPr="0060012E" w:rsidRDefault="0060012E" w:rsidP="00B63AA4">
      <w:pPr>
        <w:spacing w:before="100" w:beforeAutospacing="1" w:after="100" w:afterAutospacing="1"/>
        <w:ind w:left="0" w:right="0"/>
        <w:rPr>
          <w:rFonts w:asciiTheme="minorHAnsi" w:hAnsiTheme="minorHAnsi"/>
          <w:lang w:val="en-AU" w:eastAsia="hr-HR"/>
        </w:rPr>
      </w:pPr>
      <w:r w:rsidRPr="0060012E">
        <w:rPr>
          <w:rFonts w:asciiTheme="minorHAnsi" w:hAnsiTheme="minorHAnsi"/>
          <w:lang w:val="en-AU" w:eastAsia="hr-HR"/>
        </w:rPr>
        <w:t xml:space="preserve">Institutional governance and financial mechanisms will also mature. Croatia will establish </w:t>
      </w:r>
      <w:r w:rsidRPr="0060012E">
        <w:rPr>
          <w:rFonts w:asciiTheme="minorHAnsi" w:hAnsiTheme="minorHAnsi"/>
          <w:b/>
          <w:bCs/>
          <w:lang w:val="en-AU" w:eastAsia="hr-HR"/>
        </w:rPr>
        <w:t>long-term investment frameworks</w:t>
      </w:r>
      <w:r w:rsidRPr="0060012E">
        <w:rPr>
          <w:rFonts w:asciiTheme="minorHAnsi" w:hAnsiTheme="minorHAnsi"/>
          <w:lang w:val="en-AU" w:eastAsia="hr-HR"/>
        </w:rPr>
        <w:t xml:space="preserve"> supported by green bonds, ETS revenue recycling, and EU funding. International cooperation will expand through </w:t>
      </w:r>
      <w:r w:rsidRPr="0060012E">
        <w:rPr>
          <w:rFonts w:asciiTheme="minorHAnsi" w:hAnsiTheme="minorHAnsi"/>
          <w:b/>
          <w:bCs/>
          <w:lang w:val="en-AU" w:eastAsia="hr-HR"/>
        </w:rPr>
        <w:t>regional hydrogen valleys</w:t>
      </w:r>
      <w:r w:rsidRPr="0060012E">
        <w:rPr>
          <w:rFonts w:asciiTheme="minorHAnsi" w:hAnsiTheme="minorHAnsi"/>
          <w:lang w:val="en-AU" w:eastAsia="hr-HR"/>
        </w:rPr>
        <w:t>, joint research centres, and harmonised market rules. Skills development and education will continue to ensure a competent workforce for the expanding hydrogen sector.</w:t>
      </w:r>
    </w:p>
    <w:p w14:paraId="13ECA0F0" w14:textId="4014D39A" w:rsidR="0060012E" w:rsidRPr="0060012E" w:rsidRDefault="0060012E" w:rsidP="00B63AA4">
      <w:pPr>
        <w:spacing w:before="100" w:beforeAutospacing="1" w:after="100" w:afterAutospacing="1"/>
        <w:ind w:left="0" w:right="0"/>
        <w:rPr>
          <w:rFonts w:asciiTheme="minorHAnsi" w:hAnsiTheme="minorHAnsi"/>
          <w:lang w:val="en-AU" w:eastAsia="hr-HR"/>
        </w:rPr>
      </w:pPr>
      <w:r w:rsidRPr="0060012E">
        <w:rPr>
          <w:rFonts w:asciiTheme="minorHAnsi" w:hAnsiTheme="minorHAnsi"/>
          <w:lang w:val="en-AU" w:eastAsia="hr-HR"/>
        </w:rPr>
        <w:t>By 2050, Croatia will have achieved a comprehensive hydrogen value chain—from renewable generation and large-scale electrolysis to storage, transport, and diverse end-uses. Hydrogen will play a central role in achieving climate neutrality, enhancing energy independence, and positioning Croatia as a leader in the South-East European hydrogen market.</w:t>
      </w:r>
    </w:p>
    <w:p w14:paraId="77E6D945" w14:textId="77777777" w:rsidR="0060012E" w:rsidRPr="0060012E" w:rsidRDefault="0060012E" w:rsidP="008007C0">
      <w:pPr>
        <w:pStyle w:val="CE-StandardText"/>
        <w:rPr>
          <w:lang w:val="en-AU" w:eastAsia="hr-HR"/>
        </w:rPr>
      </w:pPr>
      <w:r w:rsidRPr="0060012E">
        <w:rPr>
          <w:lang w:val="en-AU" w:eastAsia="hr-HR"/>
        </w:rPr>
        <w:t>Expected Strategic Outcomes</w:t>
      </w:r>
    </w:p>
    <w:p w14:paraId="6E2A3435" w14:textId="7A069861" w:rsidR="0060012E" w:rsidRPr="0060012E" w:rsidRDefault="0060012E" w:rsidP="00B63AA4">
      <w:pPr>
        <w:numPr>
          <w:ilvl w:val="0"/>
          <w:numId w:val="87"/>
        </w:numPr>
        <w:spacing w:before="100" w:beforeAutospacing="1" w:after="100" w:afterAutospacing="1"/>
        <w:ind w:right="0"/>
        <w:rPr>
          <w:rFonts w:asciiTheme="minorHAnsi" w:hAnsiTheme="minorHAnsi"/>
          <w:lang w:val="en-AU" w:eastAsia="hr-HR"/>
        </w:rPr>
      </w:pPr>
      <w:r w:rsidRPr="0060012E">
        <w:rPr>
          <w:rFonts w:asciiTheme="minorHAnsi" w:hAnsiTheme="minorHAnsi"/>
          <w:b/>
          <w:bCs/>
          <w:lang w:val="en-AU" w:eastAsia="hr-HR"/>
        </w:rPr>
        <w:t>By 2030:</w:t>
      </w:r>
      <w:r w:rsidRPr="0060012E">
        <w:rPr>
          <w:rFonts w:asciiTheme="minorHAnsi" w:hAnsiTheme="minorHAnsi"/>
          <w:lang w:val="en-AU" w:eastAsia="hr-HR"/>
        </w:rPr>
        <w:t xml:space="preserve"> Croatia will have operational hydrogen pilot projects, a functioning refuelling network, at least 510 MW of electroly</w:t>
      </w:r>
      <w:r w:rsidR="001D276D">
        <w:rPr>
          <w:rFonts w:asciiTheme="minorHAnsi" w:hAnsiTheme="minorHAnsi"/>
          <w:lang w:val="en-AU" w:eastAsia="hr-HR"/>
        </w:rPr>
        <w:t>z</w:t>
      </w:r>
      <w:r w:rsidRPr="0060012E">
        <w:rPr>
          <w:rFonts w:asciiTheme="minorHAnsi" w:hAnsiTheme="minorHAnsi"/>
          <w:lang w:val="en-AU" w:eastAsia="hr-HR"/>
        </w:rPr>
        <w:t>er capacity, and a complete regulatory and certification system.</w:t>
      </w:r>
    </w:p>
    <w:p w14:paraId="6421D71A" w14:textId="77777777" w:rsidR="0060012E" w:rsidRDefault="0060012E" w:rsidP="00B63AA4">
      <w:pPr>
        <w:numPr>
          <w:ilvl w:val="0"/>
          <w:numId w:val="87"/>
        </w:numPr>
        <w:spacing w:before="100" w:beforeAutospacing="1" w:after="100" w:afterAutospacing="1"/>
        <w:ind w:right="0"/>
        <w:rPr>
          <w:rFonts w:asciiTheme="minorHAnsi" w:hAnsiTheme="minorHAnsi"/>
          <w:lang w:val="en-AU" w:eastAsia="hr-HR"/>
        </w:rPr>
      </w:pPr>
      <w:r w:rsidRPr="0060012E">
        <w:rPr>
          <w:rFonts w:asciiTheme="minorHAnsi" w:hAnsiTheme="minorHAnsi"/>
          <w:b/>
          <w:bCs/>
          <w:lang w:val="en-AU" w:eastAsia="hr-HR"/>
        </w:rPr>
        <w:t>By 2050:</w:t>
      </w:r>
      <w:r w:rsidRPr="0060012E">
        <w:rPr>
          <w:rFonts w:asciiTheme="minorHAnsi" w:hAnsiTheme="minorHAnsi"/>
          <w:lang w:val="en-AU" w:eastAsia="hr-HR"/>
        </w:rPr>
        <w:t xml:space="preserve"> The country will operate multi-gigawatt hydrogen infrastructure, produce over 240 kt of renewable hydrogen annually, achieve deep industrial and transport decarbonisation, and act as a regional hydrogen export hub connected to the European Hydrogen Backbone.</w:t>
      </w:r>
    </w:p>
    <w:p w14:paraId="6F58769D" w14:textId="2FCB476B" w:rsidR="0060012E" w:rsidRDefault="0060012E">
      <w:pPr>
        <w:spacing w:before="0" w:line="240" w:lineRule="auto"/>
        <w:ind w:left="0" w:right="0"/>
        <w:jc w:val="left"/>
        <w:rPr>
          <w:rFonts w:asciiTheme="minorHAnsi" w:hAnsiTheme="minorHAnsi"/>
          <w:lang w:val="en-AU" w:eastAsia="hr-HR"/>
        </w:rPr>
      </w:pPr>
      <w:r>
        <w:rPr>
          <w:rFonts w:asciiTheme="minorHAnsi" w:hAnsiTheme="minorHAnsi"/>
          <w:lang w:val="en-AU" w:eastAsia="hr-HR"/>
        </w:rPr>
        <w:br w:type="page"/>
      </w:r>
    </w:p>
    <w:p w14:paraId="24643B4E" w14:textId="2633614D" w:rsidR="00485BCF" w:rsidRPr="0060012E" w:rsidRDefault="003B7AAE" w:rsidP="0039437C">
      <w:pPr>
        <w:pStyle w:val="CE-Headline1"/>
        <w:rPr>
          <w:lang w:val="en-AU"/>
        </w:rPr>
      </w:pPr>
      <w:bookmarkStart w:id="44" w:name="_Toc219232421"/>
      <w:r>
        <w:lastRenderedPageBreak/>
        <w:t xml:space="preserve">Strategic </w:t>
      </w:r>
      <w:r w:rsidR="00485537">
        <w:t>t</w:t>
      </w:r>
      <w:r>
        <w:t xml:space="preserve">ransnational collaboration for </w:t>
      </w:r>
      <w:r w:rsidR="00485537">
        <w:t>h</w:t>
      </w:r>
      <w:r>
        <w:t>ydrogen development</w:t>
      </w:r>
      <w:bookmarkEnd w:id="44"/>
    </w:p>
    <w:p w14:paraId="269408F5" w14:textId="77777777" w:rsidR="00655C39" w:rsidRPr="00655C39" w:rsidRDefault="00655C39" w:rsidP="008007C0">
      <w:pPr>
        <w:pStyle w:val="CE-StandardText"/>
        <w:rPr>
          <w:noProof/>
          <w:lang w:val="en-AU" w:eastAsia="de-AT"/>
        </w:rPr>
      </w:pPr>
      <w:r w:rsidRPr="00655C39">
        <w:rPr>
          <w:noProof/>
          <w:lang w:val="en-AU" w:eastAsia="de-AT"/>
        </w:rPr>
        <w:t>Transnational collaboration is a critical pillar of Croatia’s hydrogen development pathway, enabling the country to embed its regional initiatives into the wider European innovation ecosystem, accelerate technology deployment, and ensure compatibility with the evolving European Hydrogen Backbone. Croatia’s hydrogen landscape is being shaped through a combination of academic expertise, EU-funded cooperation projects, cross-border research partnerships, and coordinated regulatory alignment with neighbouring Member States.</w:t>
      </w:r>
    </w:p>
    <w:p w14:paraId="606F44A5" w14:textId="77777777" w:rsidR="00655C39" w:rsidRPr="00655C39" w:rsidRDefault="00655C39" w:rsidP="008007C0">
      <w:pPr>
        <w:pStyle w:val="CE-StandardText"/>
        <w:rPr>
          <w:noProof/>
          <w:lang w:val="en-AU" w:eastAsia="de-AT"/>
        </w:rPr>
      </w:pPr>
      <w:r w:rsidRPr="00655C39">
        <w:rPr>
          <w:noProof/>
          <w:lang w:val="en-AU" w:eastAsia="de-AT"/>
        </w:rPr>
        <w:t>The current network of transnational activities reflects a structured and expanding engagement with the hydrogen ecosystems of Austria, Slovenia, and Central Europe. These collaborations support the development of hydrogen competence centres, facilitate the exchange of knowledge and best practices, and strengthen regional value chains essential for scaling hydrogen production, distribution, and utilisation.</w:t>
      </w:r>
    </w:p>
    <w:p w14:paraId="27A96A79" w14:textId="77777777" w:rsidR="00655C39" w:rsidRPr="00655C39" w:rsidRDefault="00655C39" w:rsidP="008007C0">
      <w:pPr>
        <w:pStyle w:val="CE-StandardText"/>
        <w:rPr>
          <w:noProof/>
          <w:lang w:val="en-AU" w:eastAsia="de-AT"/>
        </w:rPr>
      </w:pPr>
    </w:p>
    <w:p w14:paraId="5B4E1448" w14:textId="7553327E" w:rsidR="00655C39" w:rsidRPr="00655C39" w:rsidRDefault="00655C39" w:rsidP="008007C0">
      <w:pPr>
        <w:pStyle w:val="CE-StandardText"/>
        <w:rPr>
          <w:noProof/>
          <w:lang w:val="en-AU" w:eastAsia="de-AT"/>
        </w:rPr>
      </w:pPr>
      <w:r w:rsidRPr="00655C39">
        <w:rPr>
          <w:noProof/>
          <w:lang w:val="en-AU" w:eastAsia="de-AT"/>
        </w:rPr>
        <w:t>Croatia’s transnational positioning is reinforced by its participation in the following flagship initiatives:</w:t>
      </w:r>
    </w:p>
    <w:p w14:paraId="5D6CF063" w14:textId="77777777" w:rsidR="00655C39" w:rsidRPr="00B63AA4" w:rsidRDefault="00655C39" w:rsidP="008007C0">
      <w:pPr>
        <w:pStyle w:val="CE-StandardText"/>
        <w:numPr>
          <w:ilvl w:val="0"/>
          <w:numId w:val="92"/>
        </w:numPr>
        <w:rPr>
          <w:noProof/>
          <w:u w:val="single"/>
          <w:lang w:val="en-AU" w:eastAsia="de-AT"/>
        </w:rPr>
      </w:pPr>
      <w:r w:rsidRPr="00B63AA4">
        <w:rPr>
          <w:noProof/>
          <w:u w:val="single"/>
          <w:lang w:val="en-AU" w:eastAsia="de-AT"/>
        </w:rPr>
        <w:t>H2GreenTECH (Interreg Slovenia–Austria)</w:t>
      </w:r>
    </w:p>
    <w:p w14:paraId="5B1D124A" w14:textId="67F5A452" w:rsidR="00655C39" w:rsidRPr="00655C39" w:rsidRDefault="00655C39" w:rsidP="008007C0">
      <w:pPr>
        <w:pStyle w:val="CE-StandardText"/>
        <w:rPr>
          <w:noProof/>
          <w:lang w:val="en-AU" w:eastAsia="de-AT"/>
        </w:rPr>
      </w:pPr>
      <w:r w:rsidRPr="00655C39">
        <w:rPr>
          <w:noProof/>
          <w:lang w:val="en-AU" w:eastAsia="de-AT"/>
        </w:rPr>
        <w:t>This project enhances cross-border research and innovation capacity, focusing on advanced hydrogen technologies. It strengthens cooperation among universities, research centres, and the private sector, and establishes a “one-stop-shop” hydrogen centre serving as a regional hub for technical expertise, testing, and knowledge transfer.</w:t>
      </w:r>
    </w:p>
    <w:p w14:paraId="05538836" w14:textId="77777777" w:rsidR="00655C39" w:rsidRPr="00B63AA4" w:rsidRDefault="00655C39" w:rsidP="008007C0">
      <w:pPr>
        <w:pStyle w:val="CE-StandardText"/>
        <w:numPr>
          <w:ilvl w:val="0"/>
          <w:numId w:val="93"/>
        </w:numPr>
        <w:rPr>
          <w:noProof/>
          <w:u w:val="single"/>
          <w:lang w:val="en-AU" w:eastAsia="de-AT"/>
        </w:rPr>
      </w:pPr>
      <w:r w:rsidRPr="00B63AA4">
        <w:rPr>
          <w:noProof/>
          <w:u w:val="single"/>
          <w:lang w:val="en-AU" w:eastAsia="de-AT"/>
        </w:rPr>
        <w:t>H2GreenFUTURE (Interreg Slovenia–Austria)</w:t>
      </w:r>
    </w:p>
    <w:p w14:paraId="4CD28DC9" w14:textId="55ADDDFE" w:rsidR="00655C39" w:rsidRPr="00655C39" w:rsidRDefault="00655C39" w:rsidP="008007C0">
      <w:pPr>
        <w:pStyle w:val="CE-StandardText"/>
        <w:rPr>
          <w:noProof/>
          <w:lang w:val="en-AU" w:eastAsia="de-AT"/>
        </w:rPr>
      </w:pPr>
      <w:r w:rsidRPr="00655C39">
        <w:rPr>
          <w:noProof/>
          <w:lang w:val="en-AU" w:eastAsia="de-AT"/>
        </w:rPr>
        <w:t>This initiative supports the development of pilot infrastructures, regulatory frameworks, and competence-building programmes that are crucial for accelerating hydrogen deployment. It contributes to the creation of a stable innovation ecosystem that aligns Slovenia and Austria with European long-term climate objectives.</w:t>
      </w:r>
    </w:p>
    <w:p w14:paraId="44963D06" w14:textId="77777777" w:rsidR="00655C39" w:rsidRPr="00B63AA4" w:rsidRDefault="00655C39" w:rsidP="008007C0">
      <w:pPr>
        <w:pStyle w:val="CE-StandardText"/>
        <w:numPr>
          <w:ilvl w:val="0"/>
          <w:numId w:val="94"/>
        </w:numPr>
        <w:rPr>
          <w:noProof/>
          <w:u w:val="single"/>
          <w:lang w:val="fr-BE" w:eastAsia="de-AT"/>
        </w:rPr>
      </w:pPr>
      <w:r w:rsidRPr="00B63AA4">
        <w:rPr>
          <w:noProof/>
          <w:u w:val="single"/>
          <w:lang w:val="fr-BE" w:eastAsia="de-AT"/>
        </w:rPr>
        <w:t>Z-T-G 002 Hydrogen (Styria)</w:t>
      </w:r>
    </w:p>
    <w:p w14:paraId="57CEC31C" w14:textId="0A2A2AF3" w:rsidR="00655C39" w:rsidRPr="00655C39" w:rsidRDefault="00655C39" w:rsidP="008007C0">
      <w:pPr>
        <w:pStyle w:val="CE-StandardText"/>
        <w:rPr>
          <w:noProof/>
          <w:lang w:val="en-AU" w:eastAsia="de-AT"/>
        </w:rPr>
      </w:pPr>
      <w:r w:rsidRPr="00655C39">
        <w:rPr>
          <w:noProof/>
          <w:lang w:val="en-AU" w:eastAsia="de-AT"/>
        </w:rPr>
        <w:t>The project analyses international hydrogen strategies and assesses regional pathways for increasing hydrogen utilisation. It supports strategic planning and provides evidence-based input for shaping Styria’s hydrogen roadmap, offering Croatia valuable insights into policy and technology alignment.</w:t>
      </w:r>
    </w:p>
    <w:p w14:paraId="321FE14A" w14:textId="77777777" w:rsidR="00655C39" w:rsidRPr="00B63AA4" w:rsidRDefault="00655C39" w:rsidP="008007C0">
      <w:pPr>
        <w:pStyle w:val="CE-StandardText"/>
        <w:numPr>
          <w:ilvl w:val="0"/>
          <w:numId w:val="94"/>
        </w:numPr>
        <w:rPr>
          <w:noProof/>
          <w:u w:val="single"/>
          <w:lang w:val="it-IT" w:eastAsia="de-AT"/>
        </w:rPr>
      </w:pPr>
      <w:r w:rsidRPr="00B63AA4">
        <w:rPr>
          <w:noProof/>
          <w:u w:val="single"/>
          <w:lang w:val="it-IT" w:eastAsia="de-AT"/>
        </w:rPr>
        <w:t>HI2 Valley (Upper Austria, Styria, Carinthia)</w:t>
      </w:r>
    </w:p>
    <w:p w14:paraId="1828FEB2" w14:textId="77777777" w:rsidR="00A41D14" w:rsidRPr="00A41D14" w:rsidRDefault="00655C39" w:rsidP="00A41D14">
      <w:pPr>
        <w:spacing w:before="100" w:beforeAutospacing="1" w:after="100" w:afterAutospacing="1" w:line="240" w:lineRule="auto"/>
        <w:ind w:left="0" w:right="0"/>
        <w:rPr>
          <w:rFonts w:asciiTheme="minorHAnsi" w:hAnsiTheme="minorHAnsi"/>
          <w:noProof/>
          <w:color w:val="000000" w:themeColor="text1"/>
          <w:szCs w:val="18"/>
          <w:lang w:eastAsia="de-AT"/>
        </w:rPr>
      </w:pPr>
      <w:r w:rsidRPr="00A41D14">
        <w:rPr>
          <w:rFonts w:asciiTheme="minorHAnsi" w:hAnsiTheme="minorHAnsi"/>
          <w:noProof/>
          <w:lang w:eastAsia="de-AT"/>
        </w:rPr>
        <w:t>A major EU-supported project (EUR 20 million), HI2 Valley focuses on reducing dependence on natural gas imports and building a robust regional market for green hydrogen. Its objectives include securing industrial jobs, stabilising energy systems, and creating a hydrogen ecosystem with EU-wide relevance.</w:t>
      </w:r>
    </w:p>
    <w:p w14:paraId="08402B9D" w14:textId="4E6873A2" w:rsidR="00A41D14" w:rsidRPr="00A41D14" w:rsidRDefault="00A41D14" w:rsidP="00A41D14">
      <w:pPr>
        <w:spacing w:before="100" w:beforeAutospacing="1" w:after="100" w:afterAutospacing="1" w:line="240" w:lineRule="auto"/>
        <w:ind w:left="0" w:right="0"/>
        <w:rPr>
          <w:rFonts w:asciiTheme="minorHAnsi" w:hAnsiTheme="minorHAnsi"/>
          <w:lang w:eastAsia="hr-HR"/>
        </w:rPr>
      </w:pPr>
      <w:r w:rsidRPr="00A41D14">
        <w:rPr>
          <w:rFonts w:asciiTheme="minorHAnsi" w:hAnsiTheme="minorHAnsi"/>
          <w:lang w:eastAsia="hr-HR"/>
        </w:rPr>
        <w:t>To further strengthen Croatia’s international cooperation in the hydrogen sector, a formal collaboration with HyCentA has already been established through the H2CE project. REGEA and the City of Zagreb organised an online webinar with HyCentA to initiate structured knowledge exchange and to lay the foundation for continued cooperation, enabling both sides to learn from each other’s progress in hydrogen technology development.</w:t>
      </w:r>
    </w:p>
    <w:p w14:paraId="20D5DAC9" w14:textId="77777777" w:rsidR="00A41D14" w:rsidRPr="00A41D14" w:rsidRDefault="00A41D14" w:rsidP="00A41D14">
      <w:pPr>
        <w:spacing w:before="100" w:beforeAutospacing="1" w:after="100" w:afterAutospacing="1" w:line="240" w:lineRule="auto"/>
        <w:ind w:left="0" w:right="0"/>
        <w:rPr>
          <w:rFonts w:asciiTheme="minorHAnsi" w:hAnsiTheme="minorHAnsi"/>
          <w:lang w:eastAsia="hr-HR"/>
        </w:rPr>
      </w:pPr>
      <w:r w:rsidRPr="00A41D14">
        <w:rPr>
          <w:rFonts w:asciiTheme="minorHAnsi" w:hAnsiTheme="minorHAnsi"/>
          <w:lang w:eastAsia="hr-HR"/>
        </w:rPr>
        <w:t>As one of Europe’s leading hydrogen research centres, HyCentA plays a significant role in technology validation, testing, and demonstration. Its relevance for Croatia lies in its ability to provide advanced technical expertise and support the integration of hydrogen technologies across multiple sectors.</w:t>
      </w:r>
    </w:p>
    <w:p w14:paraId="0F67E66A" w14:textId="1344F838" w:rsidR="00655C39" w:rsidRPr="00655C39" w:rsidRDefault="00A41D14" w:rsidP="008007C0">
      <w:pPr>
        <w:pStyle w:val="CE-StandardText"/>
        <w:rPr>
          <w:noProof/>
          <w:lang w:val="en-AU" w:eastAsia="de-AT"/>
        </w:rPr>
      </w:pPr>
      <w:r w:rsidRPr="00A41D14">
        <w:rPr>
          <w:rFonts w:asciiTheme="minorHAnsi" w:hAnsiTheme="minorHAnsi"/>
          <w:szCs w:val="20"/>
          <w:lang w:eastAsia="hr-HR"/>
        </w:rPr>
        <w:lastRenderedPageBreak/>
        <w:t>Through this growing portfolio of collaborations, Croatia is building a resilient and future-proof hydrogen competence network encompassing education, industry, research, policymaking, and cross-border infrastructure planning. These initiatives also reinforce Croatia’s engagement in major European platforms such as the European Clean Hydrogen Alliance, the Hydrogen Valleys Partnership, and the European Hydrogen Backbone Initiative, further strengthening the country’s strategic integration into the common EU hydrogen market.</w:t>
      </w:r>
    </w:p>
    <w:p w14:paraId="1FFF184C" w14:textId="77777777" w:rsidR="00655C39" w:rsidRPr="00655C39" w:rsidRDefault="00655C39" w:rsidP="008007C0">
      <w:pPr>
        <w:pStyle w:val="CE-StandardText"/>
        <w:rPr>
          <w:noProof/>
          <w:lang w:val="en-AU" w:eastAsia="de-AT"/>
        </w:rPr>
      </w:pPr>
      <w:r w:rsidRPr="00655C39">
        <w:rPr>
          <w:noProof/>
          <w:lang w:val="en-AU" w:eastAsia="de-AT"/>
        </w:rPr>
        <w:t>Critically, transnational cooperation supports Croatia in preparing for:</w:t>
      </w:r>
    </w:p>
    <w:p w14:paraId="1853E065" w14:textId="77777777" w:rsidR="00655C39" w:rsidRPr="00655C39" w:rsidRDefault="00655C39" w:rsidP="00B63AA4">
      <w:pPr>
        <w:pStyle w:val="CE-StandardText"/>
        <w:spacing w:before="0"/>
        <w:rPr>
          <w:noProof/>
          <w:lang w:val="en-AU" w:eastAsia="de-AT"/>
        </w:rPr>
      </w:pPr>
    </w:p>
    <w:p w14:paraId="4078EFE4" w14:textId="742D50EC" w:rsidR="00655C39" w:rsidRPr="00655C39" w:rsidRDefault="00655C39" w:rsidP="00B63AA4">
      <w:pPr>
        <w:pStyle w:val="CE-StandardText"/>
        <w:numPr>
          <w:ilvl w:val="0"/>
          <w:numId w:val="91"/>
        </w:numPr>
        <w:spacing w:before="0"/>
        <w:rPr>
          <w:noProof/>
          <w:lang w:val="en-AU" w:eastAsia="de-AT"/>
        </w:rPr>
      </w:pPr>
      <w:r w:rsidRPr="00655C39">
        <w:rPr>
          <w:noProof/>
          <w:lang w:val="en-AU" w:eastAsia="de-AT"/>
        </w:rPr>
        <w:t>cross-border hydrogen trade and certification</w:t>
      </w:r>
    </w:p>
    <w:p w14:paraId="2DF48FE6" w14:textId="0A17AE9C" w:rsidR="00655C39" w:rsidRPr="00655C39" w:rsidRDefault="00655C39" w:rsidP="00B63AA4">
      <w:pPr>
        <w:pStyle w:val="CE-StandardText"/>
        <w:numPr>
          <w:ilvl w:val="0"/>
          <w:numId w:val="91"/>
        </w:numPr>
        <w:spacing w:before="0"/>
        <w:rPr>
          <w:noProof/>
          <w:lang w:val="en-AU" w:eastAsia="de-AT"/>
        </w:rPr>
      </w:pPr>
      <w:r w:rsidRPr="00655C39">
        <w:rPr>
          <w:noProof/>
          <w:lang w:val="en-AU" w:eastAsia="de-AT"/>
        </w:rPr>
        <w:t>harmonised regulatory and safety standards</w:t>
      </w:r>
    </w:p>
    <w:p w14:paraId="527144D0" w14:textId="22E39701" w:rsidR="00655C39" w:rsidRPr="00655C39" w:rsidRDefault="00655C39" w:rsidP="00B63AA4">
      <w:pPr>
        <w:pStyle w:val="CE-StandardText"/>
        <w:numPr>
          <w:ilvl w:val="0"/>
          <w:numId w:val="91"/>
        </w:numPr>
        <w:spacing w:before="0"/>
        <w:rPr>
          <w:noProof/>
          <w:lang w:val="en-AU" w:eastAsia="de-AT"/>
        </w:rPr>
      </w:pPr>
      <w:r w:rsidRPr="00655C39">
        <w:rPr>
          <w:noProof/>
          <w:lang w:val="en-AU" w:eastAsia="de-AT"/>
        </w:rPr>
        <w:t>interoperability of infrastructure</w:t>
      </w:r>
    </w:p>
    <w:p w14:paraId="1C8C8CF7" w14:textId="32BB7BD0" w:rsidR="00655C39" w:rsidRPr="00655C39" w:rsidRDefault="00655C39" w:rsidP="00B63AA4">
      <w:pPr>
        <w:pStyle w:val="CE-StandardText"/>
        <w:numPr>
          <w:ilvl w:val="0"/>
          <w:numId w:val="91"/>
        </w:numPr>
        <w:spacing w:before="0"/>
        <w:rPr>
          <w:noProof/>
          <w:lang w:val="en-AU" w:eastAsia="de-AT"/>
        </w:rPr>
      </w:pPr>
      <w:r w:rsidRPr="00655C39">
        <w:rPr>
          <w:noProof/>
          <w:lang w:val="en-AU" w:eastAsia="de-AT"/>
        </w:rPr>
        <w:t>joint investment in hydrogen valleys and corridors</w:t>
      </w:r>
    </w:p>
    <w:p w14:paraId="03C6F318" w14:textId="2614B7DC" w:rsidR="00655C39" w:rsidRPr="00655C39" w:rsidRDefault="00655C39" w:rsidP="00B63AA4">
      <w:pPr>
        <w:pStyle w:val="CE-StandardText"/>
        <w:numPr>
          <w:ilvl w:val="0"/>
          <w:numId w:val="91"/>
        </w:numPr>
        <w:spacing w:before="0"/>
        <w:rPr>
          <w:noProof/>
          <w:lang w:val="en-AU" w:eastAsia="de-AT"/>
        </w:rPr>
      </w:pPr>
      <w:r w:rsidRPr="00655C39">
        <w:rPr>
          <w:noProof/>
          <w:lang w:val="en-AU" w:eastAsia="de-AT"/>
        </w:rPr>
        <w:t>coordinated skills development and workforce training</w:t>
      </w:r>
    </w:p>
    <w:p w14:paraId="0268A422" w14:textId="77777777" w:rsidR="00655C39" w:rsidRPr="00655C39" w:rsidRDefault="00655C39" w:rsidP="00B63AA4">
      <w:pPr>
        <w:pStyle w:val="CE-StandardText"/>
        <w:numPr>
          <w:ilvl w:val="0"/>
          <w:numId w:val="91"/>
        </w:numPr>
        <w:spacing w:before="0"/>
        <w:rPr>
          <w:noProof/>
          <w:lang w:val="en-AU" w:eastAsia="de-AT"/>
        </w:rPr>
      </w:pPr>
      <w:r w:rsidRPr="00655C39">
        <w:rPr>
          <w:noProof/>
          <w:lang w:val="en-AU" w:eastAsia="de-AT"/>
        </w:rPr>
        <w:t>integration of Adriatic, Central European, and Alpine hydrogen supply chains</w:t>
      </w:r>
    </w:p>
    <w:p w14:paraId="1513846D" w14:textId="77777777" w:rsidR="00655C39" w:rsidRPr="00655C39" w:rsidRDefault="00655C39" w:rsidP="008007C0">
      <w:pPr>
        <w:pStyle w:val="CE-StandardText"/>
        <w:rPr>
          <w:noProof/>
          <w:lang w:val="en-AU" w:eastAsia="de-AT"/>
        </w:rPr>
      </w:pPr>
      <w:r w:rsidRPr="00655C39">
        <w:rPr>
          <w:noProof/>
          <w:lang w:val="en-AU" w:eastAsia="de-AT"/>
        </w:rPr>
        <w:t>In this context, the North Adriatic Hydrogen Valley serves as a flagship model for regional collaboration, illustrating how coordinated investment and planning across borders can accelerate deployment, achieve economies of scale, and strengthen Europe’s collective energy resilience.</w:t>
      </w:r>
    </w:p>
    <w:p w14:paraId="472696FB" w14:textId="379DD63C" w:rsidR="00A230CB" w:rsidRDefault="00655C39" w:rsidP="008007C0">
      <w:pPr>
        <w:pStyle w:val="CE-StandardText"/>
        <w:rPr>
          <w:noProof/>
          <w:lang w:val="en-AU" w:eastAsia="de-AT"/>
        </w:rPr>
      </w:pPr>
      <w:r w:rsidRPr="00655C39">
        <w:rPr>
          <w:noProof/>
          <w:lang w:val="en-AU" w:eastAsia="de-AT"/>
        </w:rPr>
        <w:t>Overall, Croatia’s strategic transnational engagement ensures that its hydrogen development efforts are not only nationally coherent but also compatible with EU-wide ambitions, supporting both regional economic growth and Europe’s path toward climate neutrality.</w:t>
      </w:r>
    </w:p>
    <w:p w14:paraId="372F59A5" w14:textId="35B4C53E" w:rsidR="00CB1B2A" w:rsidRDefault="00655C39" w:rsidP="00A230CB">
      <w:pPr>
        <w:pStyle w:val="CE-Headline1"/>
        <w:numPr>
          <w:ilvl w:val="0"/>
          <w:numId w:val="0"/>
        </w:numPr>
      </w:pPr>
      <w:bookmarkStart w:id="45" w:name="_Hlk215831733"/>
      <w:r>
        <w:rPr>
          <w:lang w:val="en-AU"/>
        </w:rPr>
        <w:br w:type="page"/>
      </w:r>
      <w:bookmarkStart w:id="46" w:name="_Toc219232422"/>
      <w:r w:rsidR="00A44A4F">
        <w:lastRenderedPageBreak/>
        <w:t>Conclusion</w:t>
      </w:r>
      <w:bookmarkEnd w:id="46"/>
    </w:p>
    <w:bookmarkEnd w:id="45"/>
    <w:p w14:paraId="7D9E4380" w14:textId="77777777" w:rsidR="00A230CB" w:rsidRPr="00A230CB" w:rsidRDefault="00A230CB" w:rsidP="00B63AA4">
      <w:pPr>
        <w:spacing w:before="0"/>
        <w:ind w:left="0" w:right="0"/>
        <w:rPr>
          <w:rFonts w:asciiTheme="minorHAnsi" w:hAnsiTheme="minorHAnsi"/>
          <w:lang w:val="en-AU"/>
        </w:rPr>
      </w:pPr>
      <w:r w:rsidRPr="00A230CB">
        <w:rPr>
          <w:rFonts w:asciiTheme="minorHAnsi" w:hAnsiTheme="minorHAnsi"/>
          <w:lang w:val="en-AU"/>
        </w:rPr>
        <w:t>Hydrogen development in Croatia is entering a decisive phase where strategic planning, regional cooperation, and transnational alignment must converge to accelerate the transition toward a climate-neutral and resilient energy system. As demonstrated throughout this Interregional Strategy, Croatia possesses significant renewable energy potential, emerging industrial demand, and strong institutional momentum that together form the foundation of a credible hydrogen economy.</w:t>
      </w:r>
    </w:p>
    <w:p w14:paraId="3B9084CE" w14:textId="77777777" w:rsidR="00A230CB" w:rsidRPr="00A230CB" w:rsidRDefault="00A230CB" w:rsidP="00B63AA4">
      <w:pPr>
        <w:spacing w:before="0"/>
        <w:ind w:left="0" w:right="0"/>
        <w:rPr>
          <w:rFonts w:asciiTheme="minorHAnsi" w:hAnsiTheme="minorHAnsi"/>
          <w:lang w:val="en-AU"/>
        </w:rPr>
      </w:pPr>
    </w:p>
    <w:p w14:paraId="32439DB1" w14:textId="77777777" w:rsidR="00A230CB" w:rsidRPr="00A230CB" w:rsidRDefault="00A230CB" w:rsidP="00B63AA4">
      <w:pPr>
        <w:spacing w:before="0"/>
        <w:ind w:left="0" w:right="0"/>
        <w:rPr>
          <w:rFonts w:asciiTheme="minorHAnsi" w:hAnsiTheme="minorHAnsi"/>
          <w:lang w:val="en-AU"/>
        </w:rPr>
      </w:pPr>
      <w:r w:rsidRPr="00A230CB">
        <w:rPr>
          <w:rFonts w:asciiTheme="minorHAnsi" w:hAnsiTheme="minorHAnsi"/>
          <w:lang w:val="en-AU"/>
        </w:rPr>
        <w:t>However, the true catalyst for progress lies in effective collaboration—within Croatia’s regions, between national institutions and industry, and across borders with neighbouring countries. Transnational initiatives such as the North Adriatic Hydrogen Valley show how coordinated action can unlock investment, accelerate technological deployment, and ensure compatibility with the wider European hydrogen infrastructure and emerging market frameworks.</w:t>
      </w:r>
    </w:p>
    <w:p w14:paraId="67055462" w14:textId="77777777" w:rsidR="00A230CB" w:rsidRPr="00A230CB" w:rsidRDefault="00A230CB" w:rsidP="00B63AA4">
      <w:pPr>
        <w:spacing w:before="0"/>
        <w:ind w:left="0" w:right="0"/>
        <w:rPr>
          <w:rFonts w:asciiTheme="minorHAnsi" w:hAnsiTheme="minorHAnsi"/>
          <w:lang w:val="en-AU"/>
        </w:rPr>
      </w:pPr>
    </w:p>
    <w:p w14:paraId="52831F93" w14:textId="10454D04" w:rsidR="00A230CB" w:rsidRPr="00A230CB" w:rsidRDefault="00A230CB" w:rsidP="00B63AA4">
      <w:pPr>
        <w:spacing w:before="0"/>
        <w:ind w:left="0" w:right="0"/>
        <w:rPr>
          <w:rFonts w:asciiTheme="minorHAnsi" w:hAnsiTheme="minorHAnsi"/>
          <w:lang w:val="en-AU"/>
        </w:rPr>
      </w:pPr>
      <w:r w:rsidRPr="00A230CB">
        <w:rPr>
          <w:rFonts w:asciiTheme="minorHAnsi" w:hAnsiTheme="minorHAnsi"/>
          <w:lang w:val="en-AU"/>
        </w:rPr>
        <w:t xml:space="preserve">Within this broader landscape, the Interregional Strategy developed under the H2CE project represents an important contribution to Croatia’s hydrogen transition. Although it does not replace the officially adopted </w:t>
      </w:r>
      <w:r w:rsidR="001228CE">
        <w:rPr>
          <w:rFonts w:asciiTheme="minorHAnsi" w:hAnsiTheme="minorHAnsi"/>
          <w:lang w:val="en-AU"/>
        </w:rPr>
        <w:t>N</w:t>
      </w:r>
      <w:r w:rsidRPr="00A230CB">
        <w:rPr>
          <w:rFonts w:asciiTheme="minorHAnsi" w:hAnsiTheme="minorHAnsi"/>
          <w:lang w:val="en-AU"/>
        </w:rPr>
        <w:t xml:space="preserve">ational </w:t>
      </w:r>
      <w:r w:rsidR="001228CE">
        <w:rPr>
          <w:rFonts w:asciiTheme="minorHAnsi" w:hAnsiTheme="minorHAnsi"/>
          <w:lang w:val="en-AU"/>
        </w:rPr>
        <w:t>H</w:t>
      </w:r>
      <w:r w:rsidRPr="00A230CB">
        <w:rPr>
          <w:rFonts w:asciiTheme="minorHAnsi" w:hAnsiTheme="minorHAnsi"/>
          <w:lang w:val="en-AU"/>
        </w:rPr>
        <w:t xml:space="preserve">ydrogen </w:t>
      </w:r>
      <w:r w:rsidR="001228CE">
        <w:rPr>
          <w:rFonts w:asciiTheme="minorHAnsi" w:hAnsiTheme="minorHAnsi"/>
          <w:lang w:val="en-AU"/>
        </w:rPr>
        <w:t>S</w:t>
      </w:r>
      <w:r w:rsidRPr="00A230CB">
        <w:rPr>
          <w:rFonts w:asciiTheme="minorHAnsi" w:hAnsiTheme="minorHAnsi"/>
          <w:lang w:val="en-AU"/>
        </w:rPr>
        <w:t>trategy, it offers an additional layer of guidance that can support regional authorities in shaping their own development pathways. The City of Zagreb, together with neighbouring counties such as Krapina-Zagorje—one of the founders of REGEA—will consider the insights and proposed approaches included in this document and seek to translate them into practical regional actions where appropriate and aligned with national priorities.</w:t>
      </w:r>
    </w:p>
    <w:p w14:paraId="0B5F1A6E" w14:textId="77777777" w:rsidR="00A230CB" w:rsidRPr="00A230CB" w:rsidRDefault="00A230CB" w:rsidP="00B63AA4">
      <w:pPr>
        <w:spacing w:before="0"/>
        <w:ind w:left="0" w:right="0"/>
        <w:rPr>
          <w:rFonts w:asciiTheme="minorHAnsi" w:hAnsiTheme="minorHAnsi"/>
          <w:lang w:val="en-AU"/>
        </w:rPr>
      </w:pPr>
    </w:p>
    <w:p w14:paraId="5A85A123" w14:textId="77777777" w:rsidR="00A230CB" w:rsidRPr="00A230CB" w:rsidRDefault="00A230CB" w:rsidP="00B63AA4">
      <w:pPr>
        <w:spacing w:before="0"/>
        <w:ind w:left="0" w:right="0"/>
        <w:rPr>
          <w:rFonts w:asciiTheme="minorHAnsi" w:hAnsiTheme="minorHAnsi"/>
          <w:lang w:val="en-AU"/>
        </w:rPr>
      </w:pPr>
      <w:r w:rsidRPr="00A230CB">
        <w:rPr>
          <w:rFonts w:asciiTheme="minorHAnsi" w:hAnsiTheme="minorHAnsi"/>
          <w:lang w:val="en-AU"/>
        </w:rPr>
        <w:t>By following EU directives, national strategic guidance, and the complementary directions provided through this project, Croatian regions can further refine their hydrogen-related planning and strengthen their role within the expanding European hydrogen landscape. In this way, the Interregional Strategy serves as an added value—an outcome of transnational cooperation that can help bridge the gap between high-level policy and the specific needs and opportunities arising at regional level.</w:t>
      </w:r>
    </w:p>
    <w:p w14:paraId="538397E0" w14:textId="77777777" w:rsidR="00A230CB" w:rsidRPr="00A230CB" w:rsidRDefault="00A230CB" w:rsidP="00B63AA4">
      <w:pPr>
        <w:spacing w:before="0"/>
        <w:ind w:left="0" w:right="0"/>
        <w:rPr>
          <w:rFonts w:asciiTheme="minorHAnsi" w:hAnsiTheme="minorHAnsi"/>
          <w:lang w:val="en-AU"/>
        </w:rPr>
      </w:pPr>
    </w:p>
    <w:p w14:paraId="7A66563F" w14:textId="4DA84507" w:rsidR="00A230CB" w:rsidRPr="00A230CB" w:rsidRDefault="00A230CB" w:rsidP="00B63AA4">
      <w:pPr>
        <w:spacing w:before="0"/>
        <w:ind w:left="0" w:right="0"/>
        <w:rPr>
          <w:rFonts w:asciiTheme="minorHAnsi" w:hAnsiTheme="minorHAnsi"/>
          <w:lang w:val="en-AU"/>
        </w:rPr>
      </w:pPr>
      <w:r w:rsidRPr="00A230CB">
        <w:rPr>
          <w:rFonts w:asciiTheme="minorHAnsi" w:hAnsiTheme="minorHAnsi"/>
          <w:lang w:val="en-AU"/>
        </w:rPr>
        <w:t>Looking ahead to 2030, accelerating hydrogen deployment will require concrete actions: installing electroly</w:t>
      </w:r>
      <w:r w:rsidR="001228CE">
        <w:rPr>
          <w:rFonts w:asciiTheme="minorHAnsi" w:hAnsiTheme="minorHAnsi"/>
          <w:lang w:val="en-AU"/>
        </w:rPr>
        <w:t>z</w:t>
      </w:r>
      <w:r w:rsidRPr="00A230CB">
        <w:rPr>
          <w:rFonts w:asciiTheme="minorHAnsi" w:hAnsiTheme="minorHAnsi"/>
          <w:lang w:val="en-AU"/>
        </w:rPr>
        <w:t>ers, expanding hydrogen refuelling infrastructure, decarbonising industrial sites, and preparing the first hydrogen-ready pipeline corridors. At the same time, long-term planning for an integrated hydrogen system toward 2050 must continue, ensuring that Croatia is prepared to operate, exchange, and innovate within the broader European hydrogen market.</w:t>
      </w:r>
    </w:p>
    <w:p w14:paraId="4307A1FA" w14:textId="77777777" w:rsidR="00A230CB" w:rsidRPr="00A230CB" w:rsidRDefault="00A230CB" w:rsidP="00B63AA4">
      <w:pPr>
        <w:spacing w:before="0"/>
        <w:ind w:left="0" w:right="0"/>
        <w:rPr>
          <w:rFonts w:asciiTheme="minorHAnsi" w:hAnsiTheme="minorHAnsi"/>
          <w:lang w:val="en-AU"/>
        </w:rPr>
      </w:pPr>
    </w:p>
    <w:p w14:paraId="16DDCDAA" w14:textId="77777777" w:rsidR="00A230CB" w:rsidRPr="00A230CB" w:rsidRDefault="00A230CB" w:rsidP="00B63AA4">
      <w:pPr>
        <w:spacing w:before="0"/>
        <w:ind w:left="0" w:right="0"/>
        <w:rPr>
          <w:rFonts w:asciiTheme="minorHAnsi" w:hAnsiTheme="minorHAnsi"/>
          <w:lang w:val="en-AU"/>
        </w:rPr>
      </w:pPr>
      <w:r w:rsidRPr="00A230CB">
        <w:rPr>
          <w:rFonts w:asciiTheme="minorHAnsi" w:hAnsiTheme="minorHAnsi"/>
          <w:lang w:val="en-AU"/>
        </w:rPr>
        <w:t>Ultimately, hydrogen is not solely an energy technology—it is a strategic enabler of industrial transformation, energy security, economic diversification, and regional development. Through strong interregional and transnational cooperation, and by applying strategies such as this one to guide and inspire action at the regional level, Croatia can fully unlock these benefits, support Europe’s climate neutrality goals, and strengthen its position as an emerging leader in the hydrogen economy.</w:t>
      </w:r>
    </w:p>
    <w:p w14:paraId="3A1893F9" w14:textId="56279E11" w:rsidR="00C21A17" w:rsidRDefault="00A230CB" w:rsidP="00A230CB">
      <w:pPr>
        <w:spacing w:before="0" w:line="240" w:lineRule="auto"/>
        <w:ind w:left="0" w:right="0"/>
        <w:rPr>
          <w:rFonts w:asciiTheme="minorHAnsi" w:hAnsiTheme="minorHAnsi"/>
          <w:lang w:val="en-AU"/>
        </w:rPr>
      </w:pPr>
      <w:r w:rsidRPr="00A230CB">
        <w:rPr>
          <w:rFonts w:asciiTheme="minorHAnsi" w:hAnsiTheme="minorHAnsi"/>
          <w:lang w:val="en-AU"/>
        </w:rPr>
        <w:t> </w:t>
      </w:r>
      <w:r w:rsidR="00C21A17">
        <w:rPr>
          <w:rFonts w:asciiTheme="minorHAnsi" w:hAnsiTheme="minorHAnsi"/>
          <w:lang w:val="en-AU"/>
        </w:rPr>
        <w:br w:type="page"/>
      </w:r>
    </w:p>
    <w:p w14:paraId="2A06EB9F" w14:textId="72918D58" w:rsidR="00A230CB" w:rsidRDefault="00A230CB" w:rsidP="00A230CB">
      <w:pPr>
        <w:pStyle w:val="CE-Headline1"/>
        <w:numPr>
          <w:ilvl w:val="0"/>
          <w:numId w:val="0"/>
        </w:numPr>
      </w:pPr>
      <w:bookmarkStart w:id="47" w:name="_Toc219232423"/>
      <w:r>
        <w:lastRenderedPageBreak/>
        <w:t>Reference</w:t>
      </w:r>
      <w:bookmarkEnd w:id="47"/>
    </w:p>
    <w:p w14:paraId="0A3F2C40" w14:textId="0CAF4C09" w:rsidR="00296F0F" w:rsidRPr="00E5094D" w:rsidRDefault="00E5094D" w:rsidP="00B63AA4">
      <w:pPr>
        <w:autoSpaceDE w:val="0"/>
        <w:autoSpaceDN w:val="0"/>
        <w:adjustRightInd w:val="0"/>
        <w:spacing w:before="0"/>
        <w:ind w:left="0" w:right="0"/>
        <w:rPr>
          <w:rFonts w:asciiTheme="minorHAnsi" w:hAnsiTheme="minorHAnsi" w:cs="Univers Condensed"/>
          <w:lang w:val="en-AU"/>
        </w:rPr>
      </w:pPr>
      <w:r w:rsidRPr="00E5094D">
        <w:rPr>
          <w:rFonts w:asciiTheme="minorHAnsi" w:hAnsiTheme="minorHAnsi" w:cs="Univers Condensed"/>
          <w:lang w:val="en-AU"/>
        </w:rPr>
        <w:t>Energy Development Strategy of the Republic of Croatia until 2030 with an Outlook to 2050 (Strategija energetskog razvoja Republike Hrvatske do 2030. s pogledom na 2050. godinu), Official Gazette (OG) 25/2020 (2020).</w:t>
      </w:r>
    </w:p>
    <w:p w14:paraId="1A01169B" w14:textId="77777777" w:rsidR="00E5094D" w:rsidRPr="00E5094D" w:rsidRDefault="00E5094D" w:rsidP="00B63AA4">
      <w:pPr>
        <w:autoSpaceDE w:val="0"/>
        <w:autoSpaceDN w:val="0"/>
        <w:adjustRightInd w:val="0"/>
        <w:spacing w:before="0"/>
        <w:ind w:left="0" w:right="0"/>
        <w:rPr>
          <w:rFonts w:asciiTheme="minorHAnsi" w:hAnsiTheme="minorHAnsi" w:cs="Univers Condensed"/>
          <w:lang w:val="en-AU"/>
        </w:rPr>
      </w:pPr>
    </w:p>
    <w:p w14:paraId="6E30B32E" w14:textId="0BD6C003" w:rsidR="00E5094D" w:rsidRPr="00E5094D" w:rsidRDefault="00E5094D" w:rsidP="00B63AA4">
      <w:pPr>
        <w:autoSpaceDE w:val="0"/>
        <w:autoSpaceDN w:val="0"/>
        <w:adjustRightInd w:val="0"/>
        <w:spacing w:before="0"/>
        <w:ind w:left="0" w:right="0"/>
        <w:rPr>
          <w:rFonts w:asciiTheme="minorHAnsi" w:hAnsiTheme="minorHAnsi" w:cs="Univers Condensed"/>
          <w:lang w:val="en-AU"/>
        </w:rPr>
      </w:pPr>
      <w:r w:rsidRPr="00E5094D">
        <w:rPr>
          <w:rFonts w:asciiTheme="minorHAnsi" w:hAnsiTheme="minorHAnsi" w:cs="Univers Condensed"/>
          <w:lang w:val="en-AU"/>
        </w:rPr>
        <w:t>EU Commission. (2024). The European Green Deal - Striving to be the first climate-neutral continent. Retrieved 06 24,</w:t>
      </w:r>
      <w:r>
        <w:rPr>
          <w:rFonts w:asciiTheme="minorHAnsi" w:hAnsiTheme="minorHAnsi" w:cs="Univers Condensed"/>
          <w:lang w:val="en-AU"/>
        </w:rPr>
        <w:t xml:space="preserve"> </w:t>
      </w:r>
      <w:r w:rsidRPr="00E5094D">
        <w:rPr>
          <w:rFonts w:asciiTheme="minorHAnsi" w:hAnsiTheme="minorHAnsi" w:cs="Univers Condensed"/>
          <w:lang w:val="en-AU"/>
        </w:rPr>
        <w:t xml:space="preserve">2024, from </w:t>
      </w:r>
      <w:hyperlink r:id="rId12" w:history="1">
        <w:r w:rsidRPr="00E5094D">
          <w:rPr>
            <w:rStyle w:val="Hiperveza"/>
            <w:rFonts w:asciiTheme="minorHAnsi" w:hAnsiTheme="minorHAnsi" w:cs="Univers Condensed"/>
            <w:lang w:val="en-AU"/>
          </w:rPr>
          <w:t>https://commission.europa.eu/strategy-and-policy/priorities-2019-2024/european-green-deal_en</w:t>
        </w:r>
      </w:hyperlink>
    </w:p>
    <w:p w14:paraId="0EDA91AB" w14:textId="77777777" w:rsidR="00E5094D" w:rsidRPr="00E5094D" w:rsidRDefault="00E5094D" w:rsidP="00B63AA4">
      <w:pPr>
        <w:autoSpaceDE w:val="0"/>
        <w:autoSpaceDN w:val="0"/>
        <w:adjustRightInd w:val="0"/>
        <w:spacing w:before="0"/>
        <w:ind w:left="0" w:right="0"/>
        <w:rPr>
          <w:rFonts w:asciiTheme="minorHAnsi" w:hAnsiTheme="minorHAnsi" w:cs="Univers Condensed"/>
          <w:lang w:val="en-AU"/>
        </w:rPr>
      </w:pPr>
    </w:p>
    <w:p w14:paraId="13F92D57" w14:textId="793DA21B" w:rsidR="00E5094D" w:rsidRPr="00E5094D" w:rsidRDefault="00E5094D" w:rsidP="00B63AA4">
      <w:pPr>
        <w:autoSpaceDE w:val="0"/>
        <w:autoSpaceDN w:val="0"/>
        <w:adjustRightInd w:val="0"/>
        <w:spacing w:before="0"/>
        <w:ind w:left="0" w:right="0"/>
        <w:rPr>
          <w:rFonts w:asciiTheme="minorHAnsi" w:hAnsiTheme="minorHAnsi" w:cs="Univers Condensed"/>
          <w:lang w:val="en-AU"/>
        </w:rPr>
      </w:pPr>
      <w:r w:rsidRPr="00E5094D">
        <w:rPr>
          <w:rFonts w:asciiTheme="minorHAnsi" w:hAnsiTheme="minorHAnsi" w:cs="Univers Condensed"/>
          <w:lang w:val="en-AU"/>
        </w:rPr>
        <w:t>Government of the Republic of Croatia (Vlada Republike Hrvatske). (2023, 12 08). Croatia’s National Recovery and</w:t>
      </w:r>
      <w:r>
        <w:rPr>
          <w:rFonts w:asciiTheme="minorHAnsi" w:hAnsiTheme="minorHAnsi" w:cs="Univers Condensed"/>
          <w:lang w:val="en-AU"/>
        </w:rPr>
        <w:t xml:space="preserve"> </w:t>
      </w:r>
      <w:r w:rsidRPr="00E5094D">
        <w:rPr>
          <w:rFonts w:asciiTheme="minorHAnsi" w:hAnsiTheme="minorHAnsi" w:cs="Univers Condensed"/>
          <w:lang w:val="en-AU"/>
        </w:rPr>
        <w:t>Resilience Plan - NRRP (Nacionalni plan oporavka i otpornosti). Retrieved 06 24, 2024, from</w:t>
      </w:r>
    </w:p>
    <w:p w14:paraId="594D30FB" w14:textId="77777777" w:rsidR="00E5094D" w:rsidRPr="00E5094D" w:rsidRDefault="00E5094D" w:rsidP="00B63AA4">
      <w:pPr>
        <w:autoSpaceDE w:val="0"/>
        <w:autoSpaceDN w:val="0"/>
        <w:adjustRightInd w:val="0"/>
        <w:spacing w:before="0"/>
        <w:ind w:left="0" w:right="0"/>
        <w:rPr>
          <w:rFonts w:asciiTheme="minorHAnsi" w:hAnsiTheme="minorHAnsi" w:cs="Univers Condensed"/>
          <w:lang w:val="en-AU"/>
        </w:rPr>
      </w:pPr>
      <w:r w:rsidRPr="00E5094D">
        <w:rPr>
          <w:rFonts w:asciiTheme="minorHAnsi" w:hAnsiTheme="minorHAnsi" w:cs="Univers Condensed"/>
          <w:lang w:val="en-AU"/>
        </w:rPr>
        <w:t>https://commission.europa.eu/business-economy-euro/economic-recovery/recovery-and-resiliencefacility/</w:t>
      </w:r>
    </w:p>
    <w:p w14:paraId="6B782A3B" w14:textId="015CE6E0" w:rsidR="00E5094D" w:rsidRPr="00E5094D" w:rsidRDefault="00E5094D" w:rsidP="00B63AA4">
      <w:pPr>
        <w:autoSpaceDE w:val="0"/>
        <w:autoSpaceDN w:val="0"/>
        <w:adjustRightInd w:val="0"/>
        <w:spacing w:before="0"/>
        <w:ind w:left="0" w:right="0"/>
        <w:rPr>
          <w:rFonts w:asciiTheme="minorHAnsi" w:hAnsiTheme="minorHAnsi" w:cs="Univers Condensed"/>
          <w:lang w:val="en-AU"/>
        </w:rPr>
      </w:pPr>
      <w:r w:rsidRPr="00E5094D">
        <w:rPr>
          <w:rFonts w:asciiTheme="minorHAnsi" w:hAnsiTheme="minorHAnsi" w:cs="Univers Condensed"/>
          <w:lang w:val="en-AU"/>
        </w:rPr>
        <w:t>country-pages/croatias-recovery-and-resilience-plan_en#documents</w:t>
      </w:r>
    </w:p>
    <w:p w14:paraId="705E4C71" w14:textId="77777777" w:rsidR="00E5094D" w:rsidRPr="00E5094D" w:rsidRDefault="00E5094D" w:rsidP="00B63AA4">
      <w:pPr>
        <w:autoSpaceDE w:val="0"/>
        <w:autoSpaceDN w:val="0"/>
        <w:adjustRightInd w:val="0"/>
        <w:spacing w:before="0"/>
        <w:ind w:left="0" w:right="0"/>
        <w:rPr>
          <w:rFonts w:asciiTheme="minorHAnsi" w:hAnsiTheme="minorHAnsi" w:cs="Univers Condensed"/>
          <w:lang w:val="en-AU"/>
        </w:rPr>
      </w:pPr>
    </w:p>
    <w:p w14:paraId="561A3172" w14:textId="04C33858" w:rsidR="00E5094D" w:rsidRPr="00E5094D" w:rsidRDefault="00E5094D" w:rsidP="00B63AA4">
      <w:pPr>
        <w:autoSpaceDE w:val="0"/>
        <w:autoSpaceDN w:val="0"/>
        <w:adjustRightInd w:val="0"/>
        <w:spacing w:before="0"/>
        <w:ind w:left="0" w:right="0"/>
        <w:rPr>
          <w:rFonts w:asciiTheme="minorHAnsi" w:hAnsiTheme="minorHAnsi" w:cs="Univers Condensed"/>
          <w:lang w:val="en-AU"/>
        </w:rPr>
      </w:pPr>
      <w:r w:rsidRPr="00E5094D">
        <w:rPr>
          <w:rFonts w:asciiTheme="minorHAnsi" w:hAnsiTheme="minorHAnsi" w:cs="Univers Condensed"/>
          <w:lang w:val="en-AU"/>
        </w:rPr>
        <w:t>Hydrogen Strategy of the Republic of Croatia Until 2050 (Hrvatska strategija za vodik do 2050. godine), Official</w:t>
      </w:r>
      <w:r>
        <w:rPr>
          <w:rFonts w:asciiTheme="minorHAnsi" w:hAnsiTheme="minorHAnsi" w:cs="Univers Condensed"/>
          <w:lang w:val="en-AU"/>
        </w:rPr>
        <w:t xml:space="preserve"> </w:t>
      </w:r>
      <w:r w:rsidRPr="00E5094D">
        <w:rPr>
          <w:rFonts w:asciiTheme="minorHAnsi" w:hAnsiTheme="minorHAnsi" w:cs="Univers Condensed"/>
          <w:lang w:val="en-AU"/>
        </w:rPr>
        <w:t>Gazette (OG) 40/2022 (03 2022). Retrieved 06 24, 2024, from</w:t>
      </w:r>
    </w:p>
    <w:p w14:paraId="45E7C578" w14:textId="77777777" w:rsidR="00E5094D" w:rsidRPr="00E5094D" w:rsidRDefault="00E5094D" w:rsidP="00B63AA4">
      <w:pPr>
        <w:autoSpaceDE w:val="0"/>
        <w:autoSpaceDN w:val="0"/>
        <w:adjustRightInd w:val="0"/>
        <w:spacing w:before="0"/>
        <w:ind w:left="0" w:right="0"/>
        <w:rPr>
          <w:rFonts w:asciiTheme="minorHAnsi" w:hAnsiTheme="minorHAnsi" w:cs="Univers Condensed"/>
          <w:lang w:val="en-AU"/>
        </w:rPr>
      </w:pPr>
      <w:r w:rsidRPr="00E5094D">
        <w:rPr>
          <w:rFonts w:asciiTheme="minorHAnsi" w:hAnsiTheme="minorHAnsi" w:cs="Univers Condensed"/>
          <w:lang w:val="en-AU"/>
        </w:rPr>
        <w:t>https://mingo.gov.hr/UserDocsImages/UPRAVA%20ZA%20ENERGETIKU/Croatian%20Hydrogen%20Strategy</w:t>
      </w:r>
    </w:p>
    <w:p w14:paraId="05C42E2C" w14:textId="522BF76B" w:rsidR="00E5094D" w:rsidRPr="00E5094D" w:rsidRDefault="00E5094D" w:rsidP="00B63AA4">
      <w:pPr>
        <w:autoSpaceDE w:val="0"/>
        <w:autoSpaceDN w:val="0"/>
        <w:adjustRightInd w:val="0"/>
        <w:spacing w:before="0"/>
        <w:ind w:left="0" w:right="0"/>
        <w:rPr>
          <w:rFonts w:asciiTheme="minorHAnsi" w:hAnsiTheme="minorHAnsi" w:cs="Univers Condensed"/>
          <w:lang w:val="en-AU"/>
        </w:rPr>
      </w:pPr>
      <w:r w:rsidRPr="00E5094D">
        <w:rPr>
          <w:rFonts w:asciiTheme="minorHAnsi" w:hAnsiTheme="minorHAnsi" w:cs="Univers Condensed"/>
          <w:lang w:val="en-AU"/>
        </w:rPr>
        <w:t>%20ENG%20FIN%2022%208.pdf</w:t>
      </w:r>
    </w:p>
    <w:p w14:paraId="32AAE573" w14:textId="77777777" w:rsidR="00E5094D" w:rsidRPr="00E5094D" w:rsidRDefault="00E5094D" w:rsidP="00B63AA4">
      <w:pPr>
        <w:autoSpaceDE w:val="0"/>
        <w:autoSpaceDN w:val="0"/>
        <w:adjustRightInd w:val="0"/>
        <w:spacing w:before="0"/>
        <w:ind w:left="0" w:right="0"/>
        <w:rPr>
          <w:rFonts w:asciiTheme="minorHAnsi" w:hAnsiTheme="minorHAnsi" w:cs="Univers Condensed"/>
          <w:lang w:val="en-AU"/>
        </w:rPr>
      </w:pPr>
    </w:p>
    <w:p w14:paraId="05E14963" w14:textId="77777777" w:rsidR="00E5094D" w:rsidRPr="00E5094D" w:rsidRDefault="00E5094D" w:rsidP="00B63AA4">
      <w:pPr>
        <w:autoSpaceDE w:val="0"/>
        <w:autoSpaceDN w:val="0"/>
        <w:adjustRightInd w:val="0"/>
        <w:spacing w:before="0"/>
        <w:ind w:left="0" w:right="0"/>
        <w:rPr>
          <w:rFonts w:asciiTheme="minorHAnsi" w:hAnsiTheme="minorHAnsi" w:cs="Univers Condensed"/>
          <w:lang w:val="en-AU"/>
        </w:rPr>
      </w:pPr>
      <w:r w:rsidRPr="00E5094D">
        <w:rPr>
          <w:rFonts w:asciiTheme="minorHAnsi" w:hAnsiTheme="minorHAnsi" w:cs="Univers Condensed"/>
          <w:lang w:val="en-AU"/>
        </w:rPr>
        <w:t>Low-Carbon Development Strategy of the Republic of Croatia Until 2030 with a View to 2050 (Strategija</w:t>
      </w:r>
    </w:p>
    <w:p w14:paraId="2EC8FD6F" w14:textId="77777777" w:rsidR="00E5094D" w:rsidRPr="00E5094D" w:rsidRDefault="00E5094D" w:rsidP="00B63AA4">
      <w:pPr>
        <w:autoSpaceDE w:val="0"/>
        <w:autoSpaceDN w:val="0"/>
        <w:adjustRightInd w:val="0"/>
        <w:spacing w:before="0"/>
        <w:ind w:left="0" w:right="0"/>
        <w:rPr>
          <w:rFonts w:asciiTheme="minorHAnsi" w:hAnsiTheme="minorHAnsi" w:cs="Univers Condensed"/>
          <w:lang w:val="en-AU"/>
        </w:rPr>
      </w:pPr>
      <w:r w:rsidRPr="00E5094D">
        <w:rPr>
          <w:rFonts w:asciiTheme="minorHAnsi" w:hAnsiTheme="minorHAnsi" w:cs="Univers Condensed"/>
          <w:lang w:val="en-AU"/>
        </w:rPr>
        <w:t>niskougljičnog razvoja Republike Hrvatske do 2030. s pogledom na 2050. godinu), Official Gazette (OG)</w:t>
      </w:r>
    </w:p>
    <w:p w14:paraId="6FAF5414" w14:textId="77777777" w:rsidR="00E5094D" w:rsidRPr="00E5094D" w:rsidRDefault="00E5094D" w:rsidP="00B63AA4">
      <w:pPr>
        <w:autoSpaceDE w:val="0"/>
        <w:autoSpaceDN w:val="0"/>
        <w:adjustRightInd w:val="0"/>
        <w:spacing w:before="0"/>
        <w:ind w:left="0" w:right="0"/>
        <w:rPr>
          <w:rFonts w:asciiTheme="minorHAnsi" w:hAnsiTheme="minorHAnsi" w:cs="Univers Condensed"/>
          <w:lang w:val="en-AU"/>
        </w:rPr>
      </w:pPr>
      <w:r w:rsidRPr="00E5094D">
        <w:rPr>
          <w:rFonts w:asciiTheme="minorHAnsi" w:hAnsiTheme="minorHAnsi" w:cs="Univers Condensed"/>
          <w:lang w:val="en-AU"/>
        </w:rPr>
        <w:t>63/2021 (06 2021). Retrieved 06 24, 2024, from</w:t>
      </w:r>
    </w:p>
    <w:p w14:paraId="364D1CAA" w14:textId="2F1CF4A4" w:rsidR="00E5094D" w:rsidRDefault="00AD3844" w:rsidP="00B63AA4">
      <w:pPr>
        <w:autoSpaceDE w:val="0"/>
        <w:autoSpaceDN w:val="0"/>
        <w:adjustRightInd w:val="0"/>
        <w:spacing w:before="0"/>
        <w:ind w:left="0" w:right="0"/>
        <w:rPr>
          <w:rFonts w:asciiTheme="minorHAnsi" w:hAnsiTheme="minorHAnsi" w:cs="Univers Condensed"/>
          <w:lang w:val="en-AU"/>
        </w:rPr>
      </w:pPr>
      <w:hyperlink r:id="rId13" w:history="1">
        <w:r w:rsidR="00E5094D" w:rsidRPr="00125F5D">
          <w:rPr>
            <w:rStyle w:val="Hiperveza"/>
            <w:rFonts w:asciiTheme="minorHAnsi" w:hAnsiTheme="minorHAnsi" w:cs="Univers Condensed"/>
            <w:lang w:val="en-AU"/>
          </w:rPr>
          <w:t>https://mingo.gov.hr/UserDocsImages/klimatske_aktivnosti/odrzivi_razvoj/NUS/lts_nus_eng.pdf</w:t>
        </w:r>
      </w:hyperlink>
    </w:p>
    <w:p w14:paraId="5F648483" w14:textId="77777777" w:rsidR="00E5094D" w:rsidRPr="00E5094D" w:rsidRDefault="00E5094D" w:rsidP="00B63AA4">
      <w:pPr>
        <w:autoSpaceDE w:val="0"/>
        <w:autoSpaceDN w:val="0"/>
        <w:adjustRightInd w:val="0"/>
        <w:spacing w:before="0"/>
        <w:ind w:left="0" w:right="0"/>
        <w:rPr>
          <w:rFonts w:asciiTheme="minorHAnsi" w:hAnsiTheme="minorHAnsi" w:cs="Univers Condensed"/>
          <w:lang w:val="en-AU"/>
        </w:rPr>
      </w:pPr>
    </w:p>
    <w:p w14:paraId="54C8511F" w14:textId="05EF1809" w:rsidR="00E5094D" w:rsidRPr="00E5094D" w:rsidRDefault="00E5094D" w:rsidP="00B63AA4">
      <w:pPr>
        <w:autoSpaceDE w:val="0"/>
        <w:autoSpaceDN w:val="0"/>
        <w:adjustRightInd w:val="0"/>
        <w:spacing w:before="0"/>
        <w:ind w:left="0" w:right="0"/>
        <w:rPr>
          <w:rFonts w:asciiTheme="minorHAnsi" w:hAnsiTheme="minorHAnsi" w:cs="Univers Condensed"/>
          <w:lang w:val="hr-HR"/>
        </w:rPr>
      </w:pPr>
      <w:r w:rsidRPr="00E5094D">
        <w:rPr>
          <w:rFonts w:asciiTheme="minorHAnsi" w:hAnsiTheme="minorHAnsi"/>
        </w:rPr>
        <w:t>Study of the Development Plan and Implementation of the Croatian Hydrogen Strategy by 2050, Croatian Hydrocarbon Agency, 2024.</w:t>
      </w:r>
    </w:p>
    <w:sectPr w:rsidR="00E5094D" w:rsidRPr="00E5094D" w:rsidSect="00957915">
      <w:headerReference w:type="default" r:id="rId14"/>
      <w:footerReference w:type="default" r:id="rId15"/>
      <w:headerReference w:type="first" r:id="rId16"/>
      <w:type w:val="evenPage"/>
      <w:pgSz w:w="11906" w:h="16838" w:code="9"/>
      <w:pgMar w:top="2382" w:right="1134" w:bottom="851" w:left="1134"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888F07" w14:textId="77777777" w:rsidR="00AD3844" w:rsidRPr="006F5C70" w:rsidRDefault="00AD3844" w:rsidP="00877C37">
      <w:r w:rsidRPr="006F5C70">
        <w:separator/>
      </w:r>
    </w:p>
    <w:p w14:paraId="15E3DA82" w14:textId="77777777" w:rsidR="00AD3844" w:rsidRPr="006F5C70" w:rsidRDefault="00AD3844"/>
    <w:p w14:paraId="61427455" w14:textId="77777777" w:rsidR="00AD3844" w:rsidRPr="006F5C70" w:rsidRDefault="00AD3844"/>
    <w:p w14:paraId="4D75C92E" w14:textId="77777777" w:rsidR="00AD3844" w:rsidRPr="006F5C70" w:rsidRDefault="00AD3844"/>
  </w:endnote>
  <w:endnote w:type="continuationSeparator" w:id="0">
    <w:p w14:paraId="1C7BD43E" w14:textId="77777777" w:rsidR="00AD3844" w:rsidRPr="006F5C70" w:rsidRDefault="00AD3844" w:rsidP="00877C37">
      <w:r w:rsidRPr="006F5C70">
        <w:continuationSeparator/>
      </w:r>
    </w:p>
    <w:p w14:paraId="558A1854" w14:textId="77777777" w:rsidR="00AD3844" w:rsidRPr="006F5C70" w:rsidRDefault="00AD3844"/>
    <w:p w14:paraId="2DD42522" w14:textId="77777777" w:rsidR="00AD3844" w:rsidRPr="006F5C70" w:rsidRDefault="00AD3844"/>
    <w:p w14:paraId="3EA1624B" w14:textId="77777777" w:rsidR="00AD3844" w:rsidRPr="006F5C70" w:rsidRDefault="00AD38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inionPro-Regular">
    <w:altName w:val="Calibri"/>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Univers Condensed">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val="0"/>
        <w:sz w:val="17"/>
        <w:szCs w:val="17"/>
      </w:rPr>
      <w:id w:val="-1623063020"/>
      <w:docPartObj>
        <w:docPartGallery w:val="Page Numbers (Bottom of Page)"/>
        <w:docPartUnique/>
      </w:docPartObj>
    </w:sdtPr>
    <w:sdtEndPr/>
    <w:sdtContent>
      <w:p w14:paraId="44B06C11" w14:textId="06E84099" w:rsidR="00FC1A26" w:rsidRPr="006F5C70" w:rsidRDefault="00FC1A26" w:rsidP="00BD2130">
        <w:pPr>
          <w:pStyle w:val="CE-Headline4"/>
          <w:numPr>
            <w:ilvl w:val="0"/>
            <w:numId w:val="0"/>
          </w:numPr>
          <w:ind w:right="-1"/>
          <w:jc w:val="right"/>
          <w:rPr>
            <w:b w:val="0"/>
            <w:sz w:val="17"/>
            <w:szCs w:val="17"/>
          </w:rPr>
        </w:pPr>
        <w:r w:rsidRPr="006F5C70">
          <w:rPr>
            <w:noProof/>
            <w:lang w:val="hr-HR" w:eastAsia="hr-HR"/>
          </w:rPr>
          <mc:AlternateContent>
            <mc:Choice Requires="wpg">
              <w:drawing>
                <wp:anchor distT="0" distB="0" distL="114300" distR="114300" simplePos="0" relativeHeight="251659264" behindDoc="0" locked="0" layoutInCell="1" allowOverlap="1" wp14:anchorId="6D13EEC5" wp14:editId="382C7261">
                  <wp:simplePos x="0" y="0"/>
                  <wp:positionH relativeFrom="column">
                    <wp:posOffset>1082040</wp:posOffset>
                  </wp:positionH>
                  <wp:positionV relativeFrom="paragraph">
                    <wp:posOffset>6350</wp:posOffset>
                  </wp:positionV>
                  <wp:extent cx="557530" cy="82550"/>
                  <wp:effectExtent l="19050" t="0" r="52070" b="0"/>
                  <wp:wrapNone/>
                  <wp:docPr id="37" name="Gruppieren 37"/>
                  <wp:cNvGraphicFramePr/>
                  <a:graphic xmlns:a="http://schemas.openxmlformats.org/drawingml/2006/main">
                    <a:graphicData uri="http://schemas.microsoft.com/office/word/2010/wordprocessingGroup">
                      <wpg:wgp>
                        <wpg:cNvGrpSpPr/>
                        <wpg:grpSpPr>
                          <a:xfrm>
                            <a:off x="0" y="0"/>
                            <a:ext cx="557530" cy="82550"/>
                            <a:chOff x="0" y="0"/>
                            <a:chExt cx="1315626" cy="199390"/>
                          </a:xfrm>
                          <a:solidFill>
                            <a:schemeClr val="accent2"/>
                          </a:solidFill>
                        </wpg:grpSpPr>
                        <wps:wsp>
                          <wps:cNvPr id="38" name="Freeform 18"/>
                          <wps:cNvSpPr>
                            <a:spLocks/>
                          </wps:cNvSpPr>
                          <wps:spPr bwMode="auto">
                            <a:xfrm>
                              <a:off x="0" y="0"/>
                              <a:ext cx="179705" cy="199390"/>
                            </a:xfrm>
                            <a:custGeom>
                              <a:avLst/>
                              <a:gdLst>
                                <a:gd name="T0" fmla="*/ 131 w 236"/>
                                <a:gd name="T1" fmla="*/ 209 h 261"/>
                                <a:gd name="T2" fmla="*/ 199 w 236"/>
                                <a:gd name="T3" fmla="*/ 176 h 261"/>
                                <a:gd name="T4" fmla="*/ 235 w 236"/>
                                <a:gd name="T5" fmla="*/ 213 h 261"/>
                                <a:gd name="T6" fmla="*/ 134 w 236"/>
                                <a:gd name="T7" fmla="*/ 261 h 261"/>
                                <a:gd name="T8" fmla="*/ 38 w 236"/>
                                <a:gd name="T9" fmla="*/ 225 h 261"/>
                                <a:gd name="T10" fmla="*/ 0 w 236"/>
                                <a:gd name="T11" fmla="*/ 132 h 261"/>
                                <a:gd name="T12" fmla="*/ 38 w 236"/>
                                <a:gd name="T13" fmla="*/ 38 h 261"/>
                                <a:gd name="T14" fmla="*/ 132 w 236"/>
                                <a:gd name="T15" fmla="*/ 0 h 261"/>
                                <a:gd name="T16" fmla="*/ 236 w 236"/>
                                <a:gd name="T17" fmla="*/ 48 h 261"/>
                                <a:gd name="T18" fmla="*/ 201 w 236"/>
                                <a:gd name="T19" fmla="*/ 87 h 261"/>
                                <a:gd name="T20" fmla="*/ 135 w 236"/>
                                <a:gd name="T21" fmla="*/ 54 h 261"/>
                                <a:gd name="T22" fmla="*/ 81 w 236"/>
                                <a:gd name="T23" fmla="*/ 75 h 261"/>
                                <a:gd name="T24" fmla="*/ 58 w 236"/>
                                <a:gd name="T25" fmla="*/ 131 h 261"/>
                                <a:gd name="T26" fmla="*/ 79 w 236"/>
                                <a:gd name="T27" fmla="*/ 187 h 261"/>
                                <a:gd name="T28" fmla="*/ 131 w 236"/>
                                <a:gd name="T29" fmla="*/ 209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6" h="261">
                                  <a:moveTo>
                                    <a:pt x="131" y="209"/>
                                  </a:moveTo>
                                  <a:cubicBezTo>
                                    <a:pt x="159" y="209"/>
                                    <a:pt x="181" y="198"/>
                                    <a:pt x="199" y="176"/>
                                  </a:cubicBezTo>
                                  <a:lnTo>
                                    <a:pt x="235" y="213"/>
                                  </a:lnTo>
                                  <a:cubicBezTo>
                                    <a:pt x="206" y="245"/>
                                    <a:pt x="173" y="261"/>
                                    <a:pt x="134" y="261"/>
                                  </a:cubicBezTo>
                                  <a:cubicBezTo>
                                    <a:pt x="95" y="261"/>
                                    <a:pt x="63" y="249"/>
                                    <a:pt x="38" y="225"/>
                                  </a:cubicBezTo>
                                  <a:cubicBezTo>
                                    <a:pt x="13" y="200"/>
                                    <a:pt x="0" y="169"/>
                                    <a:pt x="0" y="132"/>
                                  </a:cubicBezTo>
                                  <a:cubicBezTo>
                                    <a:pt x="0" y="94"/>
                                    <a:pt x="13" y="63"/>
                                    <a:pt x="38" y="38"/>
                                  </a:cubicBezTo>
                                  <a:cubicBezTo>
                                    <a:pt x="64" y="13"/>
                                    <a:pt x="95" y="0"/>
                                    <a:pt x="132" y="0"/>
                                  </a:cubicBezTo>
                                  <a:cubicBezTo>
                                    <a:pt x="174" y="0"/>
                                    <a:pt x="208" y="16"/>
                                    <a:pt x="236" y="48"/>
                                  </a:cubicBezTo>
                                  <a:lnTo>
                                    <a:pt x="201" y="87"/>
                                  </a:lnTo>
                                  <a:cubicBezTo>
                                    <a:pt x="184" y="65"/>
                                    <a:pt x="161" y="54"/>
                                    <a:pt x="135" y="54"/>
                                  </a:cubicBezTo>
                                  <a:cubicBezTo>
                                    <a:pt x="114" y="54"/>
                                    <a:pt x="96" y="61"/>
                                    <a:pt x="81" y="75"/>
                                  </a:cubicBezTo>
                                  <a:cubicBezTo>
                                    <a:pt x="66" y="89"/>
                                    <a:pt x="58" y="107"/>
                                    <a:pt x="58" y="131"/>
                                  </a:cubicBezTo>
                                  <a:cubicBezTo>
                                    <a:pt x="58" y="154"/>
                                    <a:pt x="65" y="173"/>
                                    <a:pt x="79" y="187"/>
                                  </a:cubicBezTo>
                                  <a:cubicBezTo>
                                    <a:pt x="94" y="202"/>
                                    <a:pt x="111" y="209"/>
                                    <a:pt x="131" y="20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9"/>
                          <wps:cNvSpPr>
                            <a:spLocks/>
                          </wps:cNvSpPr>
                          <wps:spPr bwMode="auto">
                            <a:xfrm>
                              <a:off x="212756" y="4527"/>
                              <a:ext cx="142240" cy="191770"/>
                            </a:xfrm>
                            <a:custGeom>
                              <a:avLst/>
                              <a:gdLst>
                                <a:gd name="T0" fmla="*/ 219 w 224"/>
                                <a:gd name="T1" fmla="*/ 0 h 302"/>
                                <a:gd name="T2" fmla="*/ 219 w 224"/>
                                <a:gd name="T3" fmla="*/ 60 h 302"/>
                                <a:gd name="T4" fmla="*/ 69 w 224"/>
                                <a:gd name="T5" fmla="*/ 60 h 302"/>
                                <a:gd name="T6" fmla="*/ 69 w 224"/>
                                <a:gd name="T7" fmla="*/ 122 h 302"/>
                                <a:gd name="T8" fmla="*/ 204 w 224"/>
                                <a:gd name="T9" fmla="*/ 122 h 302"/>
                                <a:gd name="T10" fmla="*/ 204 w 224"/>
                                <a:gd name="T11" fmla="*/ 180 h 302"/>
                                <a:gd name="T12" fmla="*/ 69 w 224"/>
                                <a:gd name="T13" fmla="*/ 180 h 302"/>
                                <a:gd name="T14" fmla="*/ 69 w 224"/>
                                <a:gd name="T15" fmla="*/ 243 h 302"/>
                                <a:gd name="T16" fmla="*/ 224 w 224"/>
                                <a:gd name="T17" fmla="*/ 243 h 302"/>
                                <a:gd name="T18" fmla="*/ 224 w 224"/>
                                <a:gd name="T19" fmla="*/ 302 h 302"/>
                                <a:gd name="T20" fmla="*/ 0 w 224"/>
                                <a:gd name="T21" fmla="*/ 302 h 302"/>
                                <a:gd name="T22" fmla="*/ 0 w 224"/>
                                <a:gd name="T23" fmla="*/ 0 h 302"/>
                                <a:gd name="T24" fmla="*/ 219 w 224"/>
                                <a:gd name="T25"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4" h="302">
                                  <a:moveTo>
                                    <a:pt x="219" y="0"/>
                                  </a:moveTo>
                                  <a:lnTo>
                                    <a:pt x="219" y="60"/>
                                  </a:lnTo>
                                  <a:lnTo>
                                    <a:pt x="69" y="60"/>
                                  </a:lnTo>
                                  <a:lnTo>
                                    <a:pt x="69" y="122"/>
                                  </a:lnTo>
                                  <a:lnTo>
                                    <a:pt x="204" y="122"/>
                                  </a:lnTo>
                                  <a:lnTo>
                                    <a:pt x="204" y="180"/>
                                  </a:lnTo>
                                  <a:lnTo>
                                    <a:pt x="69" y="180"/>
                                  </a:lnTo>
                                  <a:lnTo>
                                    <a:pt x="69" y="243"/>
                                  </a:lnTo>
                                  <a:lnTo>
                                    <a:pt x="224" y="243"/>
                                  </a:lnTo>
                                  <a:lnTo>
                                    <a:pt x="224" y="302"/>
                                  </a:lnTo>
                                  <a:lnTo>
                                    <a:pt x="0" y="302"/>
                                  </a:lnTo>
                                  <a:lnTo>
                                    <a:pt x="0" y="0"/>
                                  </a:lnTo>
                                  <a:lnTo>
                                    <a:pt x="21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0"/>
                          <wps:cNvSpPr>
                            <a:spLocks/>
                          </wps:cNvSpPr>
                          <wps:spPr bwMode="auto">
                            <a:xfrm>
                              <a:off x="393826" y="4527"/>
                              <a:ext cx="177800" cy="191770"/>
                            </a:xfrm>
                            <a:custGeom>
                              <a:avLst/>
                              <a:gdLst>
                                <a:gd name="T0" fmla="*/ 213 w 280"/>
                                <a:gd name="T1" fmla="*/ 0 h 302"/>
                                <a:gd name="T2" fmla="*/ 280 w 280"/>
                                <a:gd name="T3" fmla="*/ 0 h 302"/>
                                <a:gd name="T4" fmla="*/ 280 w 280"/>
                                <a:gd name="T5" fmla="*/ 302 h 302"/>
                                <a:gd name="T6" fmla="*/ 213 w 280"/>
                                <a:gd name="T7" fmla="*/ 302 h 302"/>
                                <a:gd name="T8" fmla="*/ 69 w 280"/>
                                <a:gd name="T9" fmla="*/ 112 h 302"/>
                                <a:gd name="T10" fmla="*/ 69 w 280"/>
                                <a:gd name="T11" fmla="*/ 302 h 302"/>
                                <a:gd name="T12" fmla="*/ 0 w 280"/>
                                <a:gd name="T13" fmla="*/ 302 h 302"/>
                                <a:gd name="T14" fmla="*/ 0 w 280"/>
                                <a:gd name="T15" fmla="*/ 0 h 302"/>
                                <a:gd name="T16" fmla="*/ 64 w 280"/>
                                <a:gd name="T17" fmla="*/ 0 h 302"/>
                                <a:gd name="T18" fmla="*/ 213 w 280"/>
                                <a:gd name="T19" fmla="*/ 195 h 302"/>
                                <a:gd name="T20" fmla="*/ 213 w 280"/>
                                <a:gd name="T21"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0" h="302">
                                  <a:moveTo>
                                    <a:pt x="213" y="0"/>
                                  </a:moveTo>
                                  <a:lnTo>
                                    <a:pt x="280" y="0"/>
                                  </a:lnTo>
                                  <a:lnTo>
                                    <a:pt x="280" y="302"/>
                                  </a:lnTo>
                                  <a:lnTo>
                                    <a:pt x="213" y="302"/>
                                  </a:lnTo>
                                  <a:lnTo>
                                    <a:pt x="69" y="112"/>
                                  </a:lnTo>
                                  <a:lnTo>
                                    <a:pt x="69" y="302"/>
                                  </a:lnTo>
                                  <a:lnTo>
                                    <a:pt x="0" y="302"/>
                                  </a:lnTo>
                                  <a:lnTo>
                                    <a:pt x="0" y="0"/>
                                  </a:lnTo>
                                  <a:lnTo>
                                    <a:pt x="64" y="0"/>
                                  </a:lnTo>
                                  <a:lnTo>
                                    <a:pt x="213" y="195"/>
                                  </a:lnTo>
                                  <a:lnTo>
                                    <a:pt x="213"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1"/>
                          <wps:cNvSpPr>
                            <a:spLocks/>
                          </wps:cNvSpPr>
                          <wps:spPr bwMode="auto">
                            <a:xfrm>
                              <a:off x="602055" y="4527"/>
                              <a:ext cx="151765" cy="191770"/>
                            </a:xfrm>
                            <a:custGeom>
                              <a:avLst/>
                              <a:gdLst>
                                <a:gd name="T0" fmla="*/ 154 w 239"/>
                                <a:gd name="T1" fmla="*/ 58 h 302"/>
                                <a:gd name="T2" fmla="*/ 154 w 239"/>
                                <a:gd name="T3" fmla="*/ 302 h 302"/>
                                <a:gd name="T4" fmla="*/ 86 w 239"/>
                                <a:gd name="T5" fmla="*/ 302 h 302"/>
                                <a:gd name="T6" fmla="*/ 86 w 239"/>
                                <a:gd name="T7" fmla="*/ 58 h 302"/>
                                <a:gd name="T8" fmla="*/ 0 w 239"/>
                                <a:gd name="T9" fmla="*/ 58 h 302"/>
                                <a:gd name="T10" fmla="*/ 0 w 239"/>
                                <a:gd name="T11" fmla="*/ 0 h 302"/>
                                <a:gd name="T12" fmla="*/ 239 w 239"/>
                                <a:gd name="T13" fmla="*/ 0 h 302"/>
                                <a:gd name="T14" fmla="*/ 239 w 239"/>
                                <a:gd name="T15" fmla="*/ 58 h 302"/>
                                <a:gd name="T16" fmla="*/ 154 w 239"/>
                                <a:gd name="T17" fmla="*/ 58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9" h="302">
                                  <a:moveTo>
                                    <a:pt x="154" y="58"/>
                                  </a:moveTo>
                                  <a:lnTo>
                                    <a:pt x="154" y="302"/>
                                  </a:lnTo>
                                  <a:lnTo>
                                    <a:pt x="86" y="302"/>
                                  </a:lnTo>
                                  <a:lnTo>
                                    <a:pt x="86" y="58"/>
                                  </a:lnTo>
                                  <a:lnTo>
                                    <a:pt x="0" y="58"/>
                                  </a:lnTo>
                                  <a:lnTo>
                                    <a:pt x="0" y="0"/>
                                  </a:lnTo>
                                  <a:lnTo>
                                    <a:pt x="239" y="0"/>
                                  </a:lnTo>
                                  <a:lnTo>
                                    <a:pt x="239" y="58"/>
                                  </a:lnTo>
                                  <a:lnTo>
                                    <a:pt x="154" y="5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2"/>
                          <wps:cNvSpPr>
                            <a:spLocks noEditPoints="1"/>
                          </wps:cNvSpPr>
                          <wps:spPr bwMode="auto">
                            <a:xfrm>
                              <a:off x="783125" y="4527"/>
                              <a:ext cx="167641" cy="191770"/>
                            </a:xfrm>
                            <a:custGeom>
                              <a:avLst/>
                              <a:gdLst>
                                <a:gd name="T0" fmla="*/ 136 w 220"/>
                                <a:gd name="T1" fmla="*/ 114 h 252"/>
                                <a:gd name="T2" fmla="*/ 147 w 220"/>
                                <a:gd name="T3" fmla="*/ 84 h 252"/>
                                <a:gd name="T4" fmla="*/ 136 w 220"/>
                                <a:gd name="T5" fmla="*/ 56 h 252"/>
                                <a:gd name="T6" fmla="*/ 98 w 220"/>
                                <a:gd name="T7" fmla="*/ 49 h 252"/>
                                <a:gd name="T8" fmla="*/ 56 w 220"/>
                                <a:gd name="T9" fmla="*/ 49 h 252"/>
                                <a:gd name="T10" fmla="*/ 56 w 220"/>
                                <a:gd name="T11" fmla="*/ 123 h 252"/>
                                <a:gd name="T12" fmla="*/ 97 w 220"/>
                                <a:gd name="T13" fmla="*/ 123 h 252"/>
                                <a:gd name="T14" fmla="*/ 136 w 220"/>
                                <a:gd name="T15" fmla="*/ 114 h 252"/>
                                <a:gd name="T16" fmla="*/ 204 w 220"/>
                                <a:gd name="T17" fmla="*/ 84 h 252"/>
                                <a:gd name="T18" fmla="*/ 156 w 220"/>
                                <a:gd name="T19" fmla="*/ 162 h 252"/>
                                <a:gd name="T20" fmla="*/ 220 w 220"/>
                                <a:gd name="T21" fmla="*/ 252 h 252"/>
                                <a:gd name="T22" fmla="*/ 151 w 220"/>
                                <a:gd name="T23" fmla="*/ 252 h 252"/>
                                <a:gd name="T24" fmla="*/ 95 w 220"/>
                                <a:gd name="T25" fmla="*/ 172 h 252"/>
                                <a:gd name="T26" fmla="*/ 56 w 220"/>
                                <a:gd name="T27" fmla="*/ 172 h 252"/>
                                <a:gd name="T28" fmla="*/ 56 w 220"/>
                                <a:gd name="T29" fmla="*/ 252 h 252"/>
                                <a:gd name="T30" fmla="*/ 0 w 220"/>
                                <a:gd name="T31" fmla="*/ 252 h 252"/>
                                <a:gd name="T32" fmla="*/ 0 w 220"/>
                                <a:gd name="T33" fmla="*/ 0 h 252"/>
                                <a:gd name="T34" fmla="*/ 95 w 220"/>
                                <a:gd name="T35" fmla="*/ 0 h 252"/>
                                <a:gd name="T36" fmla="*/ 179 w 220"/>
                                <a:gd name="T37" fmla="*/ 20 h 252"/>
                                <a:gd name="T38" fmla="*/ 204 w 220"/>
                                <a:gd name="T39" fmla="*/ 84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20" h="252">
                                  <a:moveTo>
                                    <a:pt x="136" y="114"/>
                                  </a:moveTo>
                                  <a:cubicBezTo>
                                    <a:pt x="143" y="108"/>
                                    <a:pt x="147" y="98"/>
                                    <a:pt x="147" y="84"/>
                                  </a:cubicBezTo>
                                  <a:cubicBezTo>
                                    <a:pt x="147" y="71"/>
                                    <a:pt x="143" y="61"/>
                                    <a:pt x="136" y="56"/>
                                  </a:cubicBezTo>
                                  <a:cubicBezTo>
                                    <a:pt x="129" y="51"/>
                                    <a:pt x="116" y="49"/>
                                    <a:pt x="98" y="49"/>
                                  </a:cubicBezTo>
                                  <a:lnTo>
                                    <a:pt x="56" y="49"/>
                                  </a:lnTo>
                                  <a:lnTo>
                                    <a:pt x="56" y="123"/>
                                  </a:lnTo>
                                  <a:lnTo>
                                    <a:pt x="97" y="123"/>
                                  </a:lnTo>
                                  <a:cubicBezTo>
                                    <a:pt x="116" y="123"/>
                                    <a:pt x="129" y="120"/>
                                    <a:pt x="136" y="114"/>
                                  </a:cubicBezTo>
                                  <a:close/>
                                  <a:moveTo>
                                    <a:pt x="204" y="84"/>
                                  </a:moveTo>
                                  <a:cubicBezTo>
                                    <a:pt x="204" y="124"/>
                                    <a:pt x="188" y="150"/>
                                    <a:pt x="156" y="162"/>
                                  </a:cubicBezTo>
                                  <a:lnTo>
                                    <a:pt x="220" y="252"/>
                                  </a:lnTo>
                                  <a:lnTo>
                                    <a:pt x="151" y="252"/>
                                  </a:lnTo>
                                  <a:lnTo>
                                    <a:pt x="95" y="172"/>
                                  </a:lnTo>
                                  <a:lnTo>
                                    <a:pt x="56" y="172"/>
                                  </a:lnTo>
                                  <a:lnTo>
                                    <a:pt x="56" y="252"/>
                                  </a:lnTo>
                                  <a:lnTo>
                                    <a:pt x="0" y="252"/>
                                  </a:lnTo>
                                  <a:lnTo>
                                    <a:pt x="0" y="0"/>
                                  </a:lnTo>
                                  <a:lnTo>
                                    <a:pt x="95" y="0"/>
                                  </a:lnTo>
                                  <a:cubicBezTo>
                                    <a:pt x="134" y="0"/>
                                    <a:pt x="162" y="7"/>
                                    <a:pt x="179" y="20"/>
                                  </a:cubicBezTo>
                                  <a:cubicBezTo>
                                    <a:pt x="196" y="33"/>
                                    <a:pt x="204" y="55"/>
                                    <a:pt x="204" y="8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3"/>
                          <wps:cNvSpPr>
                            <a:spLocks noEditPoints="1"/>
                          </wps:cNvSpPr>
                          <wps:spPr bwMode="auto">
                            <a:xfrm>
                              <a:off x="959667" y="4527"/>
                              <a:ext cx="207010" cy="191770"/>
                            </a:xfrm>
                            <a:custGeom>
                              <a:avLst/>
                              <a:gdLst>
                                <a:gd name="T0" fmla="*/ 136 w 272"/>
                                <a:gd name="T1" fmla="*/ 75 h 252"/>
                                <a:gd name="T2" fmla="*/ 105 w 272"/>
                                <a:gd name="T3" fmla="*/ 149 h 252"/>
                                <a:gd name="T4" fmla="*/ 168 w 272"/>
                                <a:gd name="T5" fmla="*/ 149 h 252"/>
                                <a:gd name="T6" fmla="*/ 136 w 272"/>
                                <a:gd name="T7" fmla="*/ 75 h 252"/>
                                <a:gd name="T8" fmla="*/ 213 w 272"/>
                                <a:gd name="T9" fmla="*/ 252 h 252"/>
                                <a:gd name="T10" fmla="*/ 189 w 272"/>
                                <a:gd name="T11" fmla="*/ 198 h 252"/>
                                <a:gd name="T12" fmla="*/ 83 w 272"/>
                                <a:gd name="T13" fmla="*/ 198 h 252"/>
                                <a:gd name="T14" fmla="*/ 60 w 272"/>
                                <a:gd name="T15" fmla="*/ 252 h 252"/>
                                <a:gd name="T16" fmla="*/ 0 w 272"/>
                                <a:gd name="T17" fmla="*/ 252 h 252"/>
                                <a:gd name="T18" fmla="*/ 109 w 272"/>
                                <a:gd name="T19" fmla="*/ 0 h 252"/>
                                <a:gd name="T20" fmla="*/ 163 w 272"/>
                                <a:gd name="T21" fmla="*/ 0 h 252"/>
                                <a:gd name="T22" fmla="*/ 272 w 272"/>
                                <a:gd name="T23" fmla="*/ 252 h 252"/>
                                <a:gd name="T24" fmla="*/ 213 w 272"/>
                                <a:gd name="T25" fmla="*/ 252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2" h="252">
                                  <a:moveTo>
                                    <a:pt x="136" y="75"/>
                                  </a:moveTo>
                                  <a:lnTo>
                                    <a:pt x="105" y="149"/>
                                  </a:lnTo>
                                  <a:lnTo>
                                    <a:pt x="168" y="149"/>
                                  </a:lnTo>
                                  <a:lnTo>
                                    <a:pt x="136" y="75"/>
                                  </a:lnTo>
                                  <a:close/>
                                  <a:moveTo>
                                    <a:pt x="213" y="252"/>
                                  </a:moveTo>
                                  <a:lnTo>
                                    <a:pt x="189" y="198"/>
                                  </a:lnTo>
                                  <a:lnTo>
                                    <a:pt x="83" y="198"/>
                                  </a:lnTo>
                                  <a:lnTo>
                                    <a:pt x="60" y="252"/>
                                  </a:lnTo>
                                  <a:lnTo>
                                    <a:pt x="0" y="252"/>
                                  </a:lnTo>
                                  <a:lnTo>
                                    <a:pt x="109" y="0"/>
                                  </a:lnTo>
                                  <a:lnTo>
                                    <a:pt x="163" y="0"/>
                                  </a:lnTo>
                                  <a:lnTo>
                                    <a:pt x="272" y="252"/>
                                  </a:lnTo>
                                  <a:lnTo>
                                    <a:pt x="213" y="25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4"/>
                          <wps:cNvSpPr>
                            <a:spLocks/>
                          </wps:cNvSpPr>
                          <wps:spPr bwMode="auto">
                            <a:xfrm>
                              <a:off x="1190531" y="4527"/>
                              <a:ext cx="125095" cy="191770"/>
                            </a:xfrm>
                            <a:custGeom>
                              <a:avLst/>
                              <a:gdLst>
                                <a:gd name="T0" fmla="*/ 0 w 197"/>
                                <a:gd name="T1" fmla="*/ 302 h 302"/>
                                <a:gd name="T2" fmla="*/ 0 w 197"/>
                                <a:gd name="T3" fmla="*/ 0 h 302"/>
                                <a:gd name="T4" fmla="*/ 67 w 197"/>
                                <a:gd name="T5" fmla="*/ 0 h 302"/>
                                <a:gd name="T6" fmla="*/ 67 w 197"/>
                                <a:gd name="T7" fmla="*/ 242 h 302"/>
                                <a:gd name="T8" fmla="*/ 197 w 197"/>
                                <a:gd name="T9" fmla="*/ 242 h 302"/>
                                <a:gd name="T10" fmla="*/ 197 w 197"/>
                                <a:gd name="T11" fmla="*/ 302 h 302"/>
                                <a:gd name="T12" fmla="*/ 0 w 197"/>
                                <a:gd name="T13" fmla="*/ 302 h 302"/>
                              </a:gdLst>
                              <a:ahLst/>
                              <a:cxnLst>
                                <a:cxn ang="0">
                                  <a:pos x="T0" y="T1"/>
                                </a:cxn>
                                <a:cxn ang="0">
                                  <a:pos x="T2" y="T3"/>
                                </a:cxn>
                                <a:cxn ang="0">
                                  <a:pos x="T4" y="T5"/>
                                </a:cxn>
                                <a:cxn ang="0">
                                  <a:pos x="T6" y="T7"/>
                                </a:cxn>
                                <a:cxn ang="0">
                                  <a:pos x="T8" y="T9"/>
                                </a:cxn>
                                <a:cxn ang="0">
                                  <a:pos x="T10" y="T11"/>
                                </a:cxn>
                                <a:cxn ang="0">
                                  <a:pos x="T12" y="T13"/>
                                </a:cxn>
                              </a:cxnLst>
                              <a:rect l="0" t="0" r="r" b="b"/>
                              <a:pathLst>
                                <a:path w="197" h="302">
                                  <a:moveTo>
                                    <a:pt x="0" y="302"/>
                                  </a:moveTo>
                                  <a:lnTo>
                                    <a:pt x="0" y="0"/>
                                  </a:lnTo>
                                  <a:lnTo>
                                    <a:pt x="67" y="0"/>
                                  </a:lnTo>
                                  <a:lnTo>
                                    <a:pt x="67" y="242"/>
                                  </a:lnTo>
                                  <a:lnTo>
                                    <a:pt x="197" y="242"/>
                                  </a:lnTo>
                                  <a:lnTo>
                                    <a:pt x="197" y="302"/>
                                  </a:lnTo>
                                  <a:lnTo>
                                    <a:pt x="0" y="30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63135BB" id="Gruppieren 37" o:spid="_x0000_s1026" style="position:absolute;margin-left:85.2pt;margin-top:.5pt;width:43.9pt;height:6.5pt;z-index:251659264;mso-width-relative:margin;mso-height-relative:margin" coordsize="13156,1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">
                  <v:shape id="Freeform 18" o:spid="_x0000_s1027" style="position:absolute;width:1797;height:1993;visibility:visible;mso-wrap-style:square;v-text-anchor:top" coordsize="23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" path="m131,209v28,,50,-11,68,-33l235,213v-29,32,-62,48,-101,48c95,261,63,249,38,225,13,200,,169,,132,,94,13,63,38,38,64,13,95,,132,v42,,76,16,104,48l201,87c184,65,161,54,135,54v-21,,-39,7,-54,21c66,89,58,107,58,131v,23,7,42,21,56c94,202,111,209,131,209xe" filled="f" stroked="f">
                    <v:path arrowok="t" o:connecttype="custom" o:connectlocs="99752,159665;151531,134455;178944,162721;102036,199390;28936,171888;0,100841;28936,29030;100513,0;179705,36669;153054,66463;102797,41253;61678,57296;44165,100077;60155,142858;99752,159665" o:connectangles="0,0,0,0,0,0,0,0,0,0,0,0,0,0,0"/>
                  </v:shape>
                  <v:shape id="Freeform 19" o:spid="_x0000_s1028" style="position:absolute;left:2127;top:45;width:1422;height:1917;visibility:visible;mso-wrap-style:square;v-text-anchor:top" coordsize="22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" path="m219,r,60l69,60r,62l204,122r,58l69,180r,63l224,243r,59l,302,,,219,xe" filled="f" stroked="f">
                    <v:path arrowok="t" o:connecttype="custom" o:connectlocs="139065,0;139065,38100;43815,38100;43815,77470;129540,77470;129540,114300;43815,114300;43815,154305;142240,154305;142240,191770;0,191770;0,0;139065,0" o:connectangles="0,0,0,0,0,0,0,0,0,0,0,0,0"/>
                  </v:shape>
                  <v:shape id="Freeform 20" o:spid="_x0000_s1029" style="position:absolute;left:3938;top:45;width:1778;height:1917;visibility:visible;mso-wrap-style:square;v-text-anchor:top" coordsize="28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" path="m213,r67,l280,302r-67,l69,112r,190l,302,,,64,,213,195,213,xe" filled="f" stroked="f">
                    <v:path arrowok="t" o:connecttype="custom" o:connectlocs="135255,0;177800,0;177800,191770;135255,191770;43815,71120;43815,191770;0,191770;0,0;40640,0;135255,123825;135255,0" o:connectangles="0,0,0,0,0,0,0,0,0,0,0"/>
                  </v:shape>
                  <v:shape id="Freeform 21" o:spid="_x0000_s1030" style="position:absolute;left:6020;top:45;width:1518;height:1917;visibility:visible;mso-wrap-style:square;v-text-anchor:top" coordsize="23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" path="m154,58r,244l86,302,86,58,,58,,,239,r,58l154,58xe" filled="f" stroked="f">
                    <v:path arrowok="t" o:connecttype="custom" o:connectlocs="97790,36830;97790,191770;54610,191770;54610,36830;0,36830;0,0;151765,0;151765,36830;97790,36830" o:connectangles="0,0,0,0,0,0,0,0,0"/>
                  </v:shape>
                  <v:shape id="Freeform 22" o:spid="_x0000_s1031" style="position:absolute;left:7831;top:45;width:1676;height:1917;visibility:visible;mso-wrap-style:square;v-text-anchor:top" coordsize="2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" path="m136,114v7,-6,11,-16,11,-30c147,71,143,61,136,56,129,51,116,49,98,49r-42,l56,123r41,c116,123,129,120,136,114xm204,84v,40,-16,66,-48,78l220,252r-69,l95,172r-39,l56,252,,252,,,95,v39,,67,7,84,20c196,33,204,55,204,84xe" filled="f" stroked="f">
                    <v:path arrowok="t" o:connecttype="custom" o:connectlocs="103633,86753;112015,63923;103633,42616;74676,37289;42672,37289;42672,93602;73914,93602;103633,86753;155449,63923;118873,123281;167641,191770;115063,191770;72390,130891;42672,130891;42672,191770;0,191770;0,0;72390,0;136399,15220;155449,63923" o:connectangles="0,0,0,0,0,0,0,0,0,0,0,0,0,0,0,0,0,0,0,0"/>
                    <o:lock v:ext="edit" verticies="t"/>
                  </v:shape>
                  <v:shape id="Freeform 23" o:spid="_x0000_s1032" style="position:absolute;left:9596;top:45;width:2070;height:1917;visibility:visible;mso-wrap-style:square;v-text-anchor:top" coordsize="27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" path="m136,75r-31,74l168,149,136,75xm213,252l189,198r-106,l60,252,,252,109,r54,l272,252r-59,xe" filled="f" stroked="f">
                    <v:path arrowok="t" o:connecttype="custom" o:connectlocs="103505,57074;79912,113388;127859,113388;103505,57074;162107,191770;143842,150676;63168,150676;45664,191770;0,191770;82956,0;124054,0;207010,191770;162107,191770" o:connectangles="0,0,0,0,0,0,0,0,0,0,0,0,0"/>
                    <o:lock v:ext="edit" verticies="t"/>
                  </v:shape>
                  <v:shape id="Freeform 24" o:spid="_x0000_s1033" style="position:absolute;left:11905;top:45;width:1251;height:1917;visibility:visible;mso-wrap-style:square;v-text-anchor:top" coordsize="19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" path="m,302l,,67,r,242l197,242r,60l,302xe" filled="f" stroked="f">
                    <v:path arrowok="t" o:connecttype="custom" o:connectlocs="0,191770;0,0;42545,0;42545,153670;125095,153670;125095,191770;0,191770" o:connectangles="0,0,0,0,0,0,0"/>
                  </v:shape>
                </v:group>
              </w:pict>
            </mc:Fallback>
          </mc:AlternateContent>
        </w:r>
        <w:r w:rsidRPr="006F5C70">
          <w:rPr>
            <w:noProof/>
            <w:lang w:val="hr-HR" w:eastAsia="hr-HR"/>
          </w:rPr>
          <mc:AlternateContent>
            <mc:Choice Requires="wpg">
              <w:drawing>
                <wp:anchor distT="0" distB="0" distL="114300" distR="114300" simplePos="0" relativeHeight="251657216" behindDoc="0" locked="0" layoutInCell="1" allowOverlap="1" wp14:anchorId="321BFB57" wp14:editId="7685F43F">
                  <wp:simplePos x="0" y="0"/>
                  <wp:positionH relativeFrom="column">
                    <wp:posOffset>942340</wp:posOffset>
                  </wp:positionH>
                  <wp:positionV relativeFrom="paragraph">
                    <wp:posOffset>9785</wp:posOffset>
                  </wp:positionV>
                  <wp:extent cx="102235" cy="81395"/>
                  <wp:effectExtent l="76200" t="0" r="31115" b="0"/>
                  <wp:wrapNone/>
                  <wp:docPr id="34" name="Gruppieren 34"/>
                  <wp:cNvGraphicFramePr/>
                  <a:graphic xmlns:a="http://schemas.openxmlformats.org/drawingml/2006/main">
                    <a:graphicData uri="http://schemas.microsoft.com/office/word/2010/wordprocessingGroup">
                      <wpg:wgp>
                        <wpg:cNvGrpSpPr/>
                        <wpg:grpSpPr>
                          <a:xfrm>
                            <a:off x="0" y="0"/>
                            <a:ext cx="102235" cy="81395"/>
                            <a:chOff x="180000" y="180000"/>
                            <a:chExt cx="229235" cy="198120"/>
                          </a:xfrm>
                          <a:solidFill>
                            <a:schemeClr val="accent2"/>
                          </a:solidFill>
                        </wpg:grpSpPr>
                        <wps:wsp>
                          <wps:cNvPr id="35" name="Rectangle 16"/>
                          <wps:cNvSpPr>
                            <a:spLocks noChangeArrowheads="1"/>
                          </wps:cNvSpPr>
                          <wps:spPr bwMode="auto">
                            <a:xfrm>
                              <a:off x="180000" y="183810"/>
                              <a:ext cx="43815" cy="19304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Freeform 17"/>
                          <wps:cNvSpPr>
                            <a:spLocks/>
                          </wps:cNvSpPr>
                          <wps:spPr bwMode="auto">
                            <a:xfrm>
                              <a:off x="256835" y="180000"/>
                              <a:ext cx="152400" cy="198120"/>
                            </a:xfrm>
                            <a:custGeom>
                              <a:avLst/>
                              <a:gdLst>
                                <a:gd name="T0" fmla="*/ 77 w 200"/>
                                <a:gd name="T1" fmla="*/ 56 h 260"/>
                                <a:gd name="T2" fmla="*/ 69 w 200"/>
                                <a:gd name="T3" fmla="*/ 73 h 260"/>
                                <a:gd name="T4" fmla="*/ 79 w 200"/>
                                <a:gd name="T5" fmla="*/ 91 h 260"/>
                                <a:gd name="T6" fmla="*/ 124 w 200"/>
                                <a:gd name="T7" fmla="*/ 106 h 260"/>
                                <a:gd name="T8" fmla="*/ 180 w 200"/>
                                <a:gd name="T9" fmla="*/ 133 h 260"/>
                                <a:gd name="T10" fmla="*/ 200 w 200"/>
                                <a:gd name="T11" fmla="*/ 184 h 260"/>
                                <a:gd name="T12" fmla="*/ 175 w 200"/>
                                <a:gd name="T13" fmla="*/ 239 h 260"/>
                                <a:gd name="T14" fmla="*/ 108 w 200"/>
                                <a:gd name="T15" fmla="*/ 260 h 260"/>
                                <a:gd name="T16" fmla="*/ 0 w 200"/>
                                <a:gd name="T17" fmla="*/ 216 h 260"/>
                                <a:gd name="T18" fmla="*/ 33 w 200"/>
                                <a:gd name="T19" fmla="*/ 175 h 260"/>
                                <a:gd name="T20" fmla="*/ 109 w 200"/>
                                <a:gd name="T21" fmla="*/ 211 h 260"/>
                                <a:gd name="T22" fmla="*/ 133 w 200"/>
                                <a:gd name="T23" fmla="*/ 204 h 260"/>
                                <a:gd name="T24" fmla="*/ 142 w 200"/>
                                <a:gd name="T25" fmla="*/ 186 h 260"/>
                                <a:gd name="T26" fmla="*/ 133 w 200"/>
                                <a:gd name="T27" fmla="*/ 168 h 260"/>
                                <a:gd name="T28" fmla="*/ 95 w 200"/>
                                <a:gd name="T29" fmla="*/ 154 h 260"/>
                                <a:gd name="T30" fmla="*/ 31 w 200"/>
                                <a:gd name="T31" fmla="*/ 127 h 260"/>
                                <a:gd name="T32" fmla="*/ 11 w 200"/>
                                <a:gd name="T33" fmla="*/ 74 h 260"/>
                                <a:gd name="T34" fmla="*/ 36 w 200"/>
                                <a:gd name="T35" fmla="*/ 19 h 260"/>
                                <a:gd name="T36" fmla="*/ 101 w 200"/>
                                <a:gd name="T37" fmla="*/ 0 h 260"/>
                                <a:gd name="T38" fmla="*/ 151 w 200"/>
                                <a:gd name="T39" fmla="*/ 8 h 260"/>
                                <a:gd name="T40" fmla="*/ 195 w 200"/>
                                <a:gd name="T41" fmla="*/ 33 h 260"/>
                                <a:gd name="T42" fmla="*/ 167 w 200"/>
                                <a:gd name="T43" fmla="*/ 74 h 260"/>
                                <a:gd name="T44" fmla="*/ 99 w 200"/>
                                <a:gd name="T45" fmla="*/ 49 h 260"/>
                                <a:gd name="T46" fmla="*/ 77 w 200"/>
                                <a:gd name="T47" fmla="*/ 56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0" h="260">
                                  <a:moveTo>
                                    <a:pt x="77" y="56"/>
                                  </a:moveTo>
                                  <a:cubicBezTo>
                                    <a:pt x="71" y="60"/>
                                    <a:pt x="69" y="66"/>
                                    <a:pt x="69" y="73"/>
                                  </a:cubicBezTo>
                                  <a:cubicBezTo>
                                    <a:pt x="69" y="81"/>
                                    <a:pt x="72" y="86"/>
                                    <a:pt x="79" y="91"/>
                                  </a:cubicBezTo>
                                  <a:cubicBezTo>
                                    <a:pt x="85" y="95"/>
                                    <a:pt x="100" y="100"/>
                                    <a:pt x="124" y="106"/>
                                  </a:cubicBezTo>
                                  <a:cubicBezTo>
                                    <a:pt x="148" y="112"/>
                                    <a:pt x="167" y="121"/>
                                    <a:pt x="180" y="133"/>
                                  </a:cubicBezTo>
                                  <a:cubicBezTo>
                                    <a:pt x="193" y="144"/>
                                    <a:pt x="200" y="162"/>
                                    <a:pt x="200" y="184"/>
                                  </a:cubicBezTo>
                                  <a:cubicBezTo>
                                    <a:pt x="200" y="207"/>
                                    <a:pt x="192" y="225"/>
                                    <a:pt x="175" y="239"/>
                                  </a:cubicBezTo>
                                  <a:cubicBezTo>
                                    <a:pt x="158" y="253"/>
                                    <a:pt x="135" y="260"/>
                                    <a:pt x="108" y="260"/>
                                  </a:cubicBezTo>
                                  <a:cubicBezTo>
                                    <a:pt x="68" y="260"/>
                                    <a:pt x="32" y="246"/>
                                    <a:pt x="0" y="216"/>
                                  </a:cubicBezTo>
                                  <a:lnTo>
                                    <a:pt x="33" y="175"/>
                                  </a:lnTo>
                                  <a:cubicBezTo>
                                    <a:pt x="60" y="199"/>
                                    <a:pt x="86" y="211"/>
                                    <a:pt x="109" y="211"/>
                                  </a:cubicBezTo>
                                  <a:cubicBezTo>
                                    <a:pt x="119" y="211"/>
                                    <a:pt x="127" y="208"/>
                                    <a:pt x="133" y="204"/>
                                  </a:cubicBezTo>
                                  <a:cubicBezTo>
                                    <a:pt x="139" y="199"/>
                                    <a:pt x="142" y="193"/>
                                    <a:pt x="142" y="186"/>
                                  </a:cubicBezTo>
                                  <a:cubicBezTo>
                                    <a:pt x="142" y="178"/>
                                    <a:pt x="139" y="172"/>
                                    <a:pt x="133" y="168"/>
                                  </a:cubicBezTo>
                                  <a:cubicBezTo>
                                    <a:pt x="126" y="163"/>
                                    <a:pt x="114" y="159"/>
                                    <a:pt x="95" y="154"/>
                                  </a:cubicBezTo>
                                  <a:cubicBezTo>
                                    <a:pt x="66" y="147"/>
                                    <a:pt x="45" y="138"/>
                                    <a:pt x="31" y="127"/>
                                  </a:cubicBezTo>
                                  <a:cubicBezTo>
                                    <a:pt x="17" y="116"/>
                                    <a:pt x="11" y="98"/>
                                    <a:pt x="11" y="74"/>
                                  </a:cubicBezTo>
                                  <a:cubicBezTo>
                                    <a:pt x="11" y="50"/>
                                    <a:pt x="19" y="32"/>
                                    <a:pt x="36" y="19"/>
                                  </a:cubicBezTo>
                                  <a:cubicBezTo>
                                    <a:pt x="54" y="6"/>
                                    <a:pt x="75" y="0"/>
                                    <a:pt x="101" y="0"/>
                                  </a:cubicBezTo>
                                  <a:cubicBezTo>
                                    <a:pt x="118" y="0"/>
                                    <a:pt x="134" y="2"/>
                                    <a:pt x="151" y="8"/>
                                  </a:cubicBezTo>
                                  <a:cubicBezTo>
                                    <a:pt x="168" y="14"/>
                                    <a:pt x="183" y="22"/>
                                    <a:pt x="195" y="33"/>
                                  </a:cubicBezTo>
                                  <a:lnTo>
                                    <a:pt x="167" y="74"/>
                                  </a:lnTo>
                                  <a:cubicBezTo>
                                    <a:pt x="145" y="57"/>
                                    <a:pt x="122" y="49"/>
                                    <a:pt x="99" y="49"/>
                                  </a:cubicBezTo>
                                  <a:cubicBezTo>
                                    <a:pt x="90" y="49"/>
                                    <a:pt x="82" y="51"/>
                                    <a:pt x="77" y="56"/>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BA7E2D2" id="Gruppieren 34" o:spid="_x0000_s1026" style="position:absolute;margin-left:74.2pt;margin-top:.75pt;width:8.05pt;height:6.4pt;z-index:251657216;mso-width-relative:margin;mso-height-relative:margin" coordorigin="180000,180000" coordsize="229235,19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">
                  <v:rect id="Rectangle 16" o:spid="_x0000_s1027" style="position:absolute;left:180000;top:183810;width:43815;height:19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jnxAAAANsAAAAPAAAAZHJzL2Rvd25yZXYueG1sRI9Ba8JA&#10;FITvBf/D8gQvohstF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FTOCOfEAAAA2wAAAA8A&#10;AAAAAAAAAAAAAAAABwIAAGRycy9kb3ducmV2LnhtbFBLBQYAAAAAAwADALcAAAD4AgAAAAA=&#10;" filled="f" stroked="f"/>
                  <v:shape id="Freeform 17" o:spid="_x0000_s1028" style="position:absolute;left:256835;top:180000;width:152400;height:198120;visibility:visible;mso-wrap-style:square;v-text-anchor:top" coordsize="20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" path="m77,56v-6,4,-8,10,-8,17c69,81,72,86,79,91v6,4,21,9,45,15c148,112,167,121,180,133v13,11,20,29,20,51c200,207,192,225,175,239v-17,14,-40,21,-67,21c68,260,32,246,,216l33,175v27,24,53,36,76,36c119,211,127,208,133,204v6,-5,9,-11,9,-18c142,178,139,172,133,168v-7,-5,-19,-9,-38,-14c66,147,45,138,31,127,17,116,11,98,11,74,11,50,19,32,36,19,54,6,75,,101,v17,,33,2,50,8c168,14,183,22,195,33l167,74c145,57,122,49,99,49v-9,,-17,2,-22,7e" filled="f" stroked="f">
                    <v:path arrowok="t" o:connecttype="custom" o:connectlocs="58674,42672;52578,55626;60198,69342;94488,80772;137160,101346;152400,140208;133350,182118;82296,198120;0,164592;25146,133350;83058,160782;101346,155448;108204,141732;101346,128016;72390,117348;23622,96774;8382,56388;27432,14478;76962,0;115062,6096;148590,25146;127254,56388;75438,37338;58674,42672" o:connectangles="0,0,0,0,0,0,0,0,0,0,0,0,0,0,0,0,0,0,0,0,0,0,0,0"/>
                  </v:shape>
                </v:group>
              </w:pict>
            </mc:Fallback>
          </mc:AlternateContent>
        </w:r>
        <w:r w:rsidRPr="006F5C70">
          <w:rPr>
            <w:noProof/>
            <w:lang w:val="hr-HR" w:eastAsia="hr-HR"/>
          </w:rPr>
          <mc:AlternateContent>
            <mc:Choice Requires="wpg">
              <w:drawing>
                <wp:anchor distT="0" distB="0" distL="114300" distR="114300" simplePos="0" relativeHeight="251655168" behindDoc="0" locked="0" layoutInCell="1" allowOverlap="1" wp14:anchorId="0BF80535" wp14:editId="44EC8085">
                  <wp:simplePos x="0" y="0"/>
                  <wp:positionH relativeFrom="column">
                    <wp:posOffset>17145</wp:posOffset>
                  </wp:positionH>
                  <wp:positionV relativeFrom="paragraph">
                    <wp:posOffset>12129</wp:posOffset>
                  </wp:positionV>
                  <wp:extent cx="880110" cy="82423"/>
                  <wp:effectExtent l="19050" t="0" r="34290" b="0"/>
                  <wp:wrapNone/>
                  <wp:docPr id="21" name="Gruppieren 21"/>
                  <wp:cNvGraphicFramePr/>
                  <a:graphic xmlns:a="http://schemas.openxmlformats.org/drawingml/2006/main">
                    <a:graphicData uri="http://schemas.microsoft.com/office/word/2010/wordprocessingGroup">
                      <wpg:wgp>
                        <wpg:cNvGrpSpPr/>
                        <wpg:grpSpPr>
                          <a:xfrm>
                            <a:off x="0" y="0"/>
                            <a:ext cx="880110" cy="82423"/>
                            <a:chOff x="0" y="0"/>
                            <a:chExt cx="2079028" cy="198755"/>
                          </a:xfrm>
                          <a:solidFill>
                            <a:schemeClr val="accent2"/>
                          </a:solidFill>
                        </wpg:grpSpPr>
                        <wps:wsp>
                          <wps:cNvPr id="22" name="Freeform 5"/>
                          <wps:cNvSpPr>
                            <a:spLocks/>
                          </wps:cNvSpPr>
                          <wps:spPr bwMode="auto">
                            <a:xfrm>
                              <a:off x="0" y="0"/>
                              <a:ext cx="179705" cy="198755"/>
                            </a:xfrm>
                            <a:custGeom>
                              <a:avLst/>
                              <a:gdLst>
                                <a:gd name="T0" fmla="*/ 131 w 236"/>
                                <a:gd name="T1" fmla="*/ 208 h 261"/>
                                <a:gd name="T2" fmla="*/ 199 w 236"/>
                                <a:gd name="T3" fmla="*/ 175 h 261"/>
                                <a:gd name="T4" fmla="*/ 235 w 236"/>
                                <a:gd name="T5" fmla="*/ 213 h 261"/>
                                <a:gd name="T6" fmla="*/ 134 w 236"/>
                                <a:gd name="T7" fmla="*/ 261 h 261"/>
                                <a:gd name="T8" fmla="*/ 38 w 236"/>
                                <a:gd name="T9" fmla="*/ 224 h 261"/>
                                <a:gd name="T10" fmla="*/ 0 w 236"/>
                                <a:gd name="T11" fmla="*/ 131 h 261"/>
                                <a:gd name="T12" fmla="*/ 38 w 236"/>
                                <a:gd name="T13" fmla="*/ 38 h 261"/>
                                <a:gd name="T14" fmla="*/ 132 w 236"/>
                                <a:gd name="T15" fmla="*/ 0 h 261"/>
                                <a:gd name="T16" fmla="*/ 236 w 236"/>
                                <a:gd name="T17" fmla="*/ 47 h 261"/>
                                <a:gd name="T18" fmla="*/ 201 w 236"/>
                                <a:gd name="T19" fmla="*/ 87 h 261"/>
                                <a:gd name="T20" fmla="*/ 135 w 236"/>
                                <a:gd name="T21" fmla="*/ 54 h 261"/>
                                <a:gd name="T22" fmla="*/ 81 w 236"/>
                                <a:gd name="T23" fmla="*/ 75 h 261"/>
                                <a:gd name="T24" fmla="*/ 58 w 236"/>
                                <a:gd name="T25" fmla="*/ 131 h 261"/>
                                <a:gd name="T26" fmla="*/ 79 w 236"/>
                                <a:gd name="T27" fmla="*/ 187 h 261"/>
                                <a:gd name="T28" fmla="*/ 131 w 236"/>
                                <a:gd name="T29" fmla="*/ 208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6" h="261">
                                  <a:moveTo>
                                    <a:pt x="131" y="208"/>
                                  </a:moveTo>
                                  <a:cubicBezTo>
                                    <a:pt x="159" y="208"/>
                                    <a:pt x="181" y="197"/>
                                    <a:pt x="199" y="175"/>
                                  </a:cubicBezTo>
                                  <a:lnTo>
                                    <a:pt x="235" y="213"/>
                                  </a:lnTo>
                                  <a:cubicBezTo>
                                    <a:pt x="206" y="245"/>
                                    <a:pt x="173" y="261"/>
                                    <a:pt x="134" y="261"/>
                                  </a:cubicBezTo>
                                  <a:cubicBezTo>
                                    <a:pt x="95" y="261"/>
                                    <a:pt x="63" y="249"/>
                                    <a:pt x="38" y="224"/>
                                  </a:cubicBezTo>
                                  <a:cubicBezTo>
                                    <a:pt x="13" y="200"/>
                                    <a:pt x="0" y="169"/>
                                    <a:pt x="0" y="131"/>
                                  </a:cubicBezTo>
                                  <a:cubicBezTo>
                                    <a:pt x="0" y="94"/>
                                    <a:pt x="13" y="63"/>
                                    <a:pt x="38" y="38"/>
                                  </a:cubicBezTo>
                                  <a:cubicBezTo>
                                    <a:pt x="64" y="13"/>
                                    <a:pt x="95" y="0"/>
                                    <a:pt x="132" y="0"/>
                                  </a:cubicBezTo>
                                  <a:cubicBezTo>
                                    <a:pt x="174" y="0"/>
                                    <a:pt x="208" y="16"/>
                                    <a:pt x="236" y="47"/>
                                  </a:cubicBezTo>
                                  <a:lnTo>
                                    <a:pt x="201" y="87"/>
                                  </a:lnTo>
                                  <a:cubicBezTo>
                                    <a:pt x="184" y="65"/>
                                    <a:pt x="161" y="54"/>
                                    <a:pt x="135" y="54"/>
                                  </a:cubicBezTo>
                                  <a:cubicBezTo>
                                    <a:pt x="114" y="54"/>
                                    <a:pt x="96" y="61"/>
                                    <a:pt x="81" y="75"/>
                                  </a:cubicBezTo>
                                  <a:cubicBezTo>
                                    <a:pt x="66" y="88"/>
                                    <a:pt x="58" y="107"/>
                                    <a:pt x="58" y="131"/>
                                  </a:cubicBezTo>
                                  <a:cubicBezTo>
                                    <a:pt x="58" y="154"/>
                                    <a:pt x="65" y="173"/>
                                    <a:pt x="79" y="187"/>
                                  </a:cubicBezTo>
                                  <a:cubicBezTo>
                                    <a:pt x="94" y="201"/>
                                    <a:pt x="111" y="208"/>
                                    <a:pt x="131" y="20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6"/>
                          <wps:cNvSpPr>
                            <a:spLocks noEditPoints="1"/>
                          </wps:cNvSpPr>
                          <wps:spPr bwMode="auto">
                            <a:xfrm>
                              <a:off x="194649" y="0"/>
                              <a:ext cx="201930" cy="198755"/>
                            </a:xfrm>
                            <a:custGeom>
                              <a:avLst/>
                              <a:gdLst>
                                <a:gd name="T0" fmla="*/ 208 w 265"/>
                                <a:gd name="T1" fmla="*/ 131 h 261"/>
                                <a:gd name="T2" fmla="*/ 186 w 265"/>
                                <a:gd name="T3" fmla="*/ 73 h 261"/>
                                <a:gd name="T4" fmla="*/ 133 w 265"/>
                                <a:gd name="T5" fmla="*/ 49 h 261"/>
                                <a:gd name="T6" fmla="*/ 80 w 265"/>
                                <a:gd name="T7" fmla="*/ 73 h 261"/>
                                <a:gd name="T8" fmla="*/ 58 w 265"/>
                                <a:gd name="T9" fmla="*/ 131 h 261"/>
                                <a:gd name="T10" fmla="*/ 80 w 265"/>
                                <a:gd name="T11" fmla="*/ 188 h 261"/>
                                <a:gd name="T12" fmla="*/ 133 w 265"/>
                                <a:gd name="T13" fmla="*/ 212 h 261"/>
                                <a:gd name="T14" fmla="*/ 186 w 265"/>
                                <a:gd name="T15" fmla="*/ 188 h 261"/>
                                <a:gd name="T16" fmla="*/ 208 w 265"/>
                                <a:gd name="T17" fmla="*/ 131 h 261"/>
                                <a:gd name="T18" fmla="*/ 227 w 265"/>
                                <a:gd name="T19" fmla="*/ 223 h 261"/>
                                <a:gd name="T20" fmla="*/ 133 w 265"/>
                                <a:gd name="T21" fmla="*/ 261 h 261"/>
                                <a:gd name="T22" fmla="*/ 39 w 265"/>
                                <a:gd name="T23" fmla="*/ 223 h 261"/>
                                <a:gd name="T24" fmla="*/ 0 w 265"/>
                                <a:gd name="T25" fmla="*/ 130 h 261"/>
                                <a:gd name="T26" fmla="*/ 39 w 265"/>
                                <a:gd name="T27" fmla="*/ 37 h 261"/>
                                <a:gd name="T28" fmla="*/ 133 w 265"/>
                                <a:gd name="T29" fmla="*/ 0 h 261"/>
                                <a:gd name="T30" fmla="*/ 227 w 265"/>
                                <a:gd name="T31" fmla="*/ 37 h 261"/>
                                <a:gd name="T32" fmla="*/ 265 w 265"/>
                                <a:gd name="T33" fmla="*/ 130 h 261"/>
                                <a:gd name="T34" fmla="*/ 227 w 265"/>
                                <a:gd name="T35" fmla="*/ 22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5" h="261">
                                  <a:moveTo>
                                    <a:pt x="208" y="131"/>
                                  </a:moveTo>
                                  <a:cubicBezTo>
                                    <a:pt x="208" y="108"/>
                                    <a:pt x="201" y="89"/>
                                    <a:pt x="186" y="73"/>
                                  </a:cubicBezTo>
                                  <a:cubicBezTo>
                                    <a:pt x="172" y="57"/>
                                    <a:pt x="154" y="49"/>
                                    <a:pt x="133" y="49"/>
                                  </a:cubicBezTo>
                                  <a:cubicBezTo>
                                    <a:pt x="112" y="49"/>
                                    <a:pt x="94" y="57"/>
                                    <a:pt x="80" y="73"/>
                                  </a:cubicBezTo>
                                  <a:cubicBezTo>
                                    <a:pt x="65" y="89"/>
                                    <a:pt x="58" y="108"/>
                                    <a:pt x="58" y="131"/>
                                  </a:cubicBezTo>
                                  <a:cubicBezTo>
                                    <a:pt x="58" y="153"/>
                                    <a:pt x="65" y="172"/>
                                    <a:pt x="80" y="188"/>
                                  </a:cubicBezTo>
                                  <a:cubicBezTo>
                                    <a:pt x="94" y="204"/>
                                    <a:pt x="112" y="212"/>
                                    <a:pt x="133" y="212"/>
                                  </a:cubicBezTo>
                                  <a:cubicBezTo>
                                    <a:pt x="154" y="212"/>
                                    <a:pt x="172" y="204"/>
                                    <a:pt x="186" y="188"/>
                                  </a:cubicBezTo>
                                  <a:cubicBezTo>
                                    <a:pt x="201" y="172"/>
                                    <a:pt x="208" y="153"/>
                                    <a:pt x="208" y="131"/>
                                  </a:cubicBezTo>
                                  <a:close/>
                                  <a:moveTo>
                                    <a:pt x="227" y="223"/>
                                  </a:moveTo>
                                  <a:cubicBezTo>
                                    <a:pt x="202" y="248"/>
                                    <a:pt x="170" y="261"/>
                                    <a:pt x="133" y="261"/>
                                  </a:cubicBezTo>
                                  <a:cubicBezTo>
                                    <a:pt x="96" y="261"/>
                                    <a:pt x="64" y="248"/>
                                    <a:pt x="39" y="223"/>
                                  </a:cubicBezTo>
                                  <a:cubicBezTo>
                                    <a:pt x="13" y="198"/>
                                    <a:pt x="0" y="167"/>
                                    <a:pt x="0" y="130"/>
                                  </a:cubicBezTo>
                                  <a:cubicBezTo>
                                    <a:pt x="0" y="93"/>
                                    <a:pt x="13" y="62"/>
                                    <a:pt x="39" y="37"/>
                                  </a:cubicBezTo>
                                  <a:cubicBezTo>
                                    <a:pt x="64" y="13"/>
                                    <a:pt x="96" y="0"/>
                                    <a:pt x="133" y="0"/>
                                  </a:cubicBezTo>
                                  <a:cubicBezTo>
                                    <a:pt x="170" y="0"/>
                                    <a:pt x="202" y="13"/>
                                    <a:pt x="227" y="37"/>
                                  </a:cubicBezTo>
                                  <a:cubicBezTo>
                                    <a:pt x="253" y="62"/>
                                    <a:pt x="265" y="93"/>
                                    <a:pt x="265" y="130"/>
                                  </a:cubicBezTo>
                                  <a:cubicBezTo>
                                    <a:pt x="265" y="167"/>
                                    <a:pt x="253" y="198"/>
                                    <a:pt x="227" y="22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
                          <wps:cNvSpPr>
                            <a:spLocks noEditPoints="1"/>
                          </wps:cNvSpPr>
                          <wps:spPr bwMode="auto">
                            <a:xfrm>
                              <a:off x="425513" y="0"/>
                              <a:ext cx="201295" cy="198755"/>
                            </a:xfrm>
                            <a:custGeom>
                              <a:avLst/>
                              <a:gdLst>
                                <a:gd name="T0" fmla="*/ 207 w 264"/>
                                <a:gd name="T1" fmla="*/ 131 h 261"/>
                                <a:gd name="T2" fmla="*/ 185 w 264"/>
                                <a:gd name="T3" fmla="*/ 73 h 261"/>
                                <a:gd name="T4" fmla="*/ 132 w 264"/>
                                <a:gd name="T5" fmla="*/ 49 h 261"/>
                                <a:gd name="T6" fmla="*/ 79 w 264"/>
                                <a:gd name="T7" fmla="*/ 73 h 261"/>
                                <a:gd name="T8" fmla="*/ 57 w 264"/>
                                <a:gd name="T9" fmla="*/ 131 h 261"/>
                                <a:gd name="T10" fmla="*/ 79 w 264"/>
                                <a:gd name="T11" fmla="*/ 188 h 261"/>
                                <a:gd name="T12" fmla="*/ 132 w 264"/>
                                <a:gd name="T13" fmla="*/ 212 h 261"/>
                                <a:gd name="T14" fmla="*/ 185 w 264"/>
                                <a:gd name="T15" fmla="*/ 188 h 261"/>
                                <a:gd name="T16" fmla="*/ 207 w 264"/>
                                <a:gd name="T17" fmla="*/ 131 h 261"/>
                                <a:gd name="T18" fmla="*/ 226 w 264"/>
                                <a:gd name="T19" fmla="*/ 223 h 261"/>
                                <a:gd name="T20" fmla="*/ 132 w 264"/>
                                <a:gd name="T21" fmla="*/ 261 h 261"/>
                                <a:gd name="T22" fmla="*/ 38 w 264"/>
                                <a:gd name="T23" fmla="*/ 223 h 261"/>
                                <a:gd name="T24" fmla="*/ 0 w 264"/>
                                <a:gd name="T25" fmla="*/ 130 h 261"/>
                                <a:gd name="T26" fmla="*/ 38 w 264"/>
                                <a:gd name="T27" fmla="*/ 37 h 261"/>
                                <a:gd name="T28" fmla="*/ 132 w 264"/>
                                <a:gd name="T29" fmla="*/ 0 h 261"/>
                                <a:gd name="T30" fmla="*/ 226 w 264"/>
                                <a:gd name="T31" fmla="*/ 37 h 261"/>
                                <a:gd name="T32" fmla="*/ 264 w 264"/>
                                <a:gd name="T33" fmla="*/ 130 h 261"/>
                                <a:gd name="T34" fmla="*/ 226 w 264"/>
                                <a:gd name="T35" fmla="*/ 22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4" h="261">
                                  <a:moveTo>
                                    <a:pt x="207" y="131"/>
                                  </a:moveTo>
                                  <a:cubicBezTo>
                                    <a:pt x="207" y="108"/>
                                    <a:pt x="200" y="89"/>
                                    <a:pt x="185" y="73"/>
                                  </a:cubicBezTo>
                                  <a:cubicBezTo>
                                    <a:pt x="171" y="57"/>
                                    <a:pt x="153" y="49"/>
                                    <a:pt x="132" y="49"/>
                                  </a:cubicBezTo>
                                  <a:cubicBezTo>
                                    <a:pt x="111" y="49"/>
                                    <a:pt x="93" y="57"/>
                                    <a:pt x="79" y="73"/>
                                  </a:cubicBezTo>
                                  <a:cubicBezTo>
                                    <a:pt x="64" y="89"/>
                                    <a:pt x="57" y="108"/>
                                    <a:pt x="57" y="131"/>
                                  </a:cubicBezTo>
                                  <a:cubicBezTo>
                                    <a:pt x="57" y="153"/>
                                    <a:pt x="64" y="172"/>
                                    <a:pt x="79" y="188"/>
                                  </a:cubicBezTo>
                                  <a:cubicBezTo>
                                    <a:pt x="93" y="204"/>
                                    <a:pt x="111" y="212"/>
                                    <a:pt x="132" y="212"/>
                                  </a:cubicBezTo>
                                  <a:cubicBezTo>
                                    <a:pt x="153" y="212"/>
                                    <a:pt x="171" y="204"/>
                                    <a:pt x="185" y="188"/>
                                  </a:cubicBezTo>
                                  <a:cubicBezTo>
                                    <a:pt x="200" y="172"/>
                                    <a:pt x="207" y="153"/>
                                    <a:pt x="207" y="131"/>
                                  </a:cubicBezTo>
                                  <a:close/>
                                  <a:moveTo>
                                    <a:pt x="226" y="223"/>
                                  </a:moveTo>
                                  <a:cubicBezTo>
                                    <a:pt x="201" y="248"/>
                                    <a:pt x="169" y="261"/>
                                    <a:pt x="132" y="261"/>
                                  </a:cubicBezTo>
                                  <a:cubicBezTo>
                                    <a:pt x="95" y="261"/>
                                    <a:pt x="63" y="248"/>
                                    <a:pt x="38" y="223"/>
                                  </a:cubicBezTo>
                                  <a:cubicBezTo>
                                    <a:pt x="12" y="198"/>
                                    <a:pt x="0" y="167"/>
                                    <a:pt x="0" y="130"/>
                                  </a:cubicBezTo>
                                  <a:cubicBezTo>
                                    <a:pt x="0" y="93"/>
                                    <a:pt x="12" y="62"/>
                                    <a:pt x="38" y="37"/>
                                  </a:cubicBezTo>
                                  <a:cubicBezTo>
                                    <a:pt x="63" y="13"/>
                                    <a:pt x="95" y="0"/>
                                    <a:pt x="132" y="0"/>
                                  </a:cubicBezTo>
                                  <a:cubicBezTo>
                                    <a:pt x="169" y="0"/>
                                    <a:pt x="201" y="13"/>
                                    <a:pt x="226" y="37"/>
                                  </a:cubicBezTo>
                                  <a:cubicBezTo>
                                    <a:pt x="252" y="62"/>
                                    <a:pt x="264" y="93"/>
                                    <a:pt x="264" y="130"/>
                                  </a:cubicBezTo>
                                  <a:cubicBezTo>
                                    <a:pt x="264" y="167"/>
                                    <a:pt x="252" y="198"/>
                                    <a:pt x="226" y="22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8"/>
                          <wps:cNvSpPr>
                            <a:spLocks noEditPoints="1"/>
                          </wps:cNvSpPr>
                          <wps:spPr bwMode="auto">
                            <a:xfrm>
                              <a:off x="660903" y="4527"/>
                              <a:ext cx="152400" cy="192405"/>
                            </a:xfrm>
                            <a:custGeom>
                              <a:avLst/>
                              <a:gdLst>
                                <a:gd name="T0" fmla="*/ 132 w 200"/>
                                <a:gd name="T1" fmla="*/ 122 h 252"/>
                                <a:gd name="T2" fmla="*/ 143 w 200"/>
                                <a:gd name="T3" fmla="*/ 88 h 252"/>
                                <a:gd name="T4" fmla="*/ 129 w 200"/>
                                <a:gd name="T5" fmla="*/ 57 h 252"/>
                                <a:gd name="T6" fmla="*/ 88 w 200"/>
                                <a:gd name="T7" fmla="*/ 48 h 252"/>
                                <a:gd name="T8" fmla="*/ 56 w 200"/>
                                <a:gd name="T9" fmla="*/ 48 h 252"/>
                                <a:gd name="T10" fmla="*/ 56 w 200"/>
                                <a:gd name="T11" fmla="*/ 133 h 252"/>
                                <a:gd name="T12" fmla="*/ 94 w 200"/>
                                <a:gd name="T13" fmla="*/ 133 h 252"/>
                                <a:gd name="T14" fmla="*/ 132 w 200"/>
                                <a:gd name="T15" fmla="*/ 122 h 252"/>
                                <a:gd name="T16" fmla="*/ 174 w 200"/>
                                <a:gd name="T17" fmla="*/ 22 h 252"/>
                                <a:gd name="T18" fmla="*/ 200 w 200"/>
                                <a:gd name="T19" fmla="*/ 92 h 252"/>
                                <a:gd name="T20" fmla="*/ 173 w 200"/>
                                <a:gd name="T21" fmla="*/ 160 h 252"/>
                                <a:gd name="T22" fmla="*/ 90 w 200"/>
                                <a:gd name="T23" fmla="*/ 182 h 252"/>
                                <a:gd name="T24" fmla="*/ 56 w 200"/>
                                <a:gd name="T25" fmla="*/ 182 h 252"/>
                                <a:gd name="T26" fmla="*/ 56 w 200"/>
                                <a:gd name="T27" fmla="*/ 252 h 252"/>
                                <a:gd name="T28" fmla="*/ 0 w 200"/>
                                <a:gd name="T29" fmla="*/ 252 h 252"/>
                                <a:gd name="T30" fmla="*/ 0 w 200"/>
                                <a:gd name="T31" fmla="*/ 0 h 252"/>
                                <a:gd name="T32" fmla="*/ 89 w 200"/>
                                <a:gd name="T33" fmla="*/ 0 h 252"/>
                                <a:gd name="T34" fmla="*/ 174 w 200"/>
                                <a:gd name="T35" fmla="*/ 22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0" h="252">
                                  <a:moveTo>
                                    <a:pt x="132" y="122"/>
                                  </a:moveTo>
                                  <a:cubicBezTo>
                                    <a:pt x="139" y="114"/>
                                    <a:pt x="143" y="103"/>
                                    <a:pt x="143" y="88"/>
                                  </a:cubicBezTo>
                                  <a:cubicBezTo>
                                    <a:pt x="143" y="74"/>
                                    <a:pt x="138" y="64"/>
                                    <a:pt x="129" y="57"/>
                                  </a:cubicBezTo>
                                  <a:cubicBezTo>
                                    <a:pt x="121" y="51"/>
                                    <a:pt x="107" y="48"/>
                                    <a:pt x="88" y="48"/>
                                  </a:cubicBezTo>
                                  <a:lnTo>
                                    <a:pt x="56" y="48"/>
                                  </a:lnTo>
                                  <a:lnTo>
                                    <a:pt x="56" y="133"/>
                                  </a:lnTo>
                                  <a:lnTo>
                                    <a:pt x="94" y="133"/>
                                  </a:lnTo>
                                  <a:cubicBezTo>
                                    <a:pt x="113" y="133"/>
                                    <a:pt x="126" y="129"/>
                                    <a:pt x="132" y="122"/>
                                  </a:cubicBezTo>
                                  <a:close/>
                                  <a:moveTo>
                                    <a:pt x="174" y="22"/>
                                  </a:moveTo>
                                  <a:cubicBezTo>
                                    <a:pt x="191" y="37"/>
                                    <a:pt x="200" y="61"/>
                                    <a:pt x="200" y="92"/>
                                  </a:cubicBezTo>
                                  <a:cubicBezTo>
                                    <a:pt x="200" y="123"/>
                                    <a:pt x="191" y="146"/>
                                    <a:pt x="173" y="160"/>
                                  </a:cubicBezTo>
                                  <a:cubicBezTo>
                                    <a:pt x="155" y="175"/>
                                    <a:pt x="127" y="182"/>
                                    <a:pt x="90" y="182"/>
                                  </a:cubicBezTo>
                                  <a:lnTo>
                                    <a:pt x="56" y="182"/>
                                  </a:lnTo>
                                  <a:lnTo>
                                    <a:pt x="56" y="252"/>
                                  </a:lnTo>
                                  <a:lnTo>
                                    <a:pt x="0" y="252"/>
                                  </a:lnTo>
                                  <a:lnTo>
                                    <a:pt x="0" y="0"/>
                                  </a:lnTo>
                                  <a:lnTo>
                                    <a:pt x="89" y="0"/>
                                  </a:lnTo>
                                  <a:cubicBezTo>
                                    <a:pt x="128" y="0"/>
                                    <a:pt x="156" y="7"/>
                                    <a:pt x="174" y="2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9"/>
                          <wps:cNvSpPr>
                            <a:spLocks/>
                          </wps:cNvSpPr>
                          <wps:spPr bwMode="auto">
                            <a:xfrm>
                              <a:off x="846499" y="4527"/>
                              <a:ext cx="141605" cy="192405"/>
                            </a:xfrm>
                            <a:custGeom>
                              <a:avLst/>
                              <a:gdLst>
                                <a:gd name="T0" fmla="*/ 218 w 223"/>
                                <a:gd name="T1" fmla="*/ 0 h 303"/>
                                <a:gd name="T2" fmla="*/ 218 w 223"/>
                                <a:gd name="T3" fmla="*/ 60 h 303"/>
                                <a:gd name="T4" fmla="*/ 69 w 223"/>
                                <a:gd name="T5" fmla="*/ 60 h 303"/>
                                <a:gd name="T6" fmla="*/ 69 w 223"/>
                                <a:gd name="T7" fmla="*/ 123 h 303"/>
                                <a:gd name="T8" fmla="*/ 204 w 223"/>
                                <a:gd name="T9" fmla="*/ 123 h 303"/>
                                <a:gd name="T10" fmla="*/ 204 w 223"/>
                                <a:gd name="T11" fmla="*/ 180 h 303"/>
                                <a:gd name="T12" fmla="*/ 69 w 223"/>
                                <a:gd name="T13" fmla="*/ 180 h 303"/>
                                <a:gd name="T14" fmla="*/ 69 w 223"/>
                                <a:gd name="T15" fmla="*/ 243 h 303"/>
                                <a:gd name="T16" fmla="*/ 223 w 223"/>
                                <a:gd name="T17" fmla="*/ 243 h 303"/>
                                <a:gd name="T18" fmla="*/ 223 w 223"/>
                                <a:gd name="T19" fmla="*/ 303 h 303"/>
                                <a:gd name="T20" fmla="*/ 0 w 223"/>
                                <a:gd name="T21" fmla="*/ 303 h 303"/>
                                <a:gd name="T22" fmla="*/ 0 w 223"/>
                                <a:gd name="T23" fmla="*/ 0 h 303"/>
                                <a:gd name="T24" fmla="*/ 218 w 223"/>
                                <a:gd name="T25" fmla="*/ 0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3" h="303">
                                  <a:moveTo>
                                    <a:pt x="218" y="0"/>
                                  </a:moveTo>
                                  <a:lnTo>
                                    <a:pt x="218" y="60"/>
                                  </a:lnTo>
                                  <a:lnTo>
                                    <a:pt x="69" y="60"/>
                                  </a:lnTo>
                                  <a:lnTo>
                                    <a:pt x="69" y="123"/>
                                  </a:lnTo>
                                  <a:lnTo>
                                    <a:pt x="204" y="123"/>
                                  </a:lnTo>
                                  <a:lnTo>
                                    <a:pt x="204" y="180"/>
                                  </a:lnTo>
                                  <a:lnTo>
                                    <a:pt x="69" y="180"/>
                                  </a:lnTo>
                                  <a:lnTo>
                                    <a:pt x="69" y="243"/>
                                  </a:lnTo>
                                  <a:lnTo>
                                    <a:pt x="223" y="243"/>
                                  </a:lnTo>
                                  <a:lnTo>
                                    <a:pt x="223" y="303"/>
                                  </a:lnTo>
                                  <a:lnTo>
                                    <a:pt x="0" y="303"/>
                                  </a:lnTo>
                                  <a:lnTo>
                                    <a:pt x="0" y="0"/>
                                  </a:lnTo>
                                  <a:lnTo>
                                    <a:pt x="218"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0"/>
                          <wps:cNvSpPr>
                            <a:spLocks noEditPoints="1"/>
                          </wps:cNvSpPr>
                          <wps:spPr bwMode="auto">
                            <a:xfrm>
                              <a:off x="1027568" y="4527"/>
                              <a:ext cx="168275" cy="192405"/>
                            </a:xfrm>
                            <a:custGeom>
                              <a:avLst/>
                              <a:gdLst>
                                <a:gd name="T0" fmla="*/ 137 w 221"/>
                                <a:gd name="T1" fmla="*/ 114 h 252"/>
                                <a:gd name="T2" fmla="*/ 147 w 221"/>
                                <a:gd name="T3" fmla="*/ 84 h 252"/>
                                <a:gd name="T4" fmla="*/ 137 w 221"/>
                                <a:gd name="T5" fmla="*/ 56 h 252"/>
                                <a:gd name="T6" fmla="*/ 99 w 221"/>
                                <a:gd name="T7" fmla="*/ 48 h 252"/>
                                <a:gd name="T8" fmla="*/ 57 w 221"/>
                                <a:gd name="T9" fmla="*/ 48 h 252"/>
                                <a:gd name="T10" fmla="*/ 57 w 221"/>
                                <a:gd name="T11" fmla="*/ 123 h 252"/>
                                <a:gd name="T12" fmla="*/ 98 w 221"/>
                                <a:gd name="T13" fmla="*/ 123 h 252"/>
                                <a:gd name="T14" fmla="*/ 137 w 221"/>
                                <a:gd name="T15" fmla="*/ 114 h 252"/>
                                <a:gd name="T16" fmla="*/ 205 w 221"/>
                                <a:gd name="T17" fmla="*/ 84 h 252"/>
                                <a:gd name="T18" fmla="*/ 157 w 221"/>
                                <a:gd name="T19" fmla="*/ 162 h 252"/>
                                <a:gd name="T20" fmla="*/ 221 w 221"/>
                                <a:gd name="T21" fmla="*/ 252 h 252"/>
                                <a:gd name="T22" fmla="*/ 151 w 221"/>
                                <a:gd name="T23" fmla="*/ 252 h 252"/>
                                <a:gd name="T24" fmla="*/ 96 w 221"/>
                                <a:gd name="T25" fmla="*/ 172 h 252"/>
                                <a:gd name="T26" fmla="*/ 57 w 221"/>
                                <a:gd name="T27" fmla="*/ 172 h 252"/>
                                <a:gd name="T28" fmla="*/ 57 w 221"/>
                                <a:gd name="T29" fmla="*/ 252 h 252"/>
                                <a:gd name="T30" fmla="*/ 0 w 221"/>
                                <a:gd name="T31" fmla="*/ 252 h 252"/>
                                <a:gd name="T32" fmla="*/ 0 w 221"/>
                                <a:gd name="T33" fmla="*/ 0 h 252"/>
                                <a:gd name="T34" fmla="*/ 96 w 221"/>
                                <a:gd name="T35" fmla="*/ 0 h 252"/>
                                <a:gd name="T36" fmla="*/ 180 w 221"/>
                                <a:gd name="T37" fmla="*/ 20 h 252"/>
                                <a:gd name="T38" fmla="*/ 205 w 221"/>
                                <a:gd name="T39" fmla="*/ 84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21" h="252">
                                  <a:moveTo>
                                    <a:pt x="137" y="114"/>
                                  </a:moveTo>
                                  <a:cubicBezTo>
                                    <a:pt x="144" y="107"/>
                                    <a:pt x="147" y="97"/>
                                    <a:pt x="147" y="84"/>
                                  </a:cubicBezTo>
                                  <a:cubicBezTo>
                                    <a:pt x="147" y="70"/>
                                    <a:pt x="144" y="61"/>
                                    <a:pt x="137" y="56"/>
                                  </a:cubicBezTo>
                                  <a:cubicBezTo>
                                    <a:pt x="129" y="51"/>
                                    <a:pt x="117" y="48"/>
                                    <a:pt x="99" y="48"/>
                                  </a:cubicBezTo>
                                  <a:lnTo>
                                    <a:pt x="57" y="48"/>
                                  </a:lnTo>
                                  <a:lnTo>
                                    <a:pt x="57" y="123"/>
                                  </a:lnTo>
                                  <a:lnTo>
                                    <a:pt x="98" y="123"/>
                                  </a:lnTo>
                                  <a:cubicBezTo>
                                    <a:pt x="117" y="123"/>
                                    <a:pt x="130" y="120"/>
                                    <a:pt x="137" y="114"/>
                                  </a:cubicBezTo>
                                  <a:close/>
                                  <a:moveTo>
                                    <a:pt x="205" y="84"/>
                                  </a:moveTo>
                                  <a:cubicBezTo>
                                    <a:pt x="205" y="124"/>
                                    <a:pt x="189" y="150"/>
                                    <a:pt x="157" y="162"/>
                                  </a:cubicBezTo>
                                  <a:lnTo>
                                    <a:pt x="221" y="252"/>
                                  </a:lnTo>
                                  <a:lnTo>
                                    <a:pt x="151" y="252"/>
                                  </a:lnTo>
                                  <a:lnTo>
                                    <a:pt x="96" y="172"/>
                                  </a:lnTo>
                                  <a:lnTo>
                                    <a:pt x="57" y="172"/>
                                  </a:lnTo>
                                  <a:lnTo>
                                    <a:pt x="57" y="252"/>
                                  </a:lnTo>
                                  <a:lnTo>
                                    <a:pt x="0" y="252"/>
                                  </a:lnTo>
                                  <a:lnTo>
                                    <a:pt x="0" y="0"/>
                                  </a:lnTo>
                                  <a:lnTo>
                                    <a:pt x="96" y="0"/>
                                  </a:lnTo>
                                  <a:cubicBezTo>
                                    <a:pt x="135" y="0"/>
                                    <a:pt x="163" y="6"/>
                                    <a:pt x="180" y="20"/>
                                  </a:cubicBezTo>
                                  <a:cubicBezTo>
                                    <a:pt x="197" y="33"/>
                                    <a:pt x="205" y="54"/>
                                    <a:pt x="205" y="8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1"/>
                          <wps:cNvSpPr>
                            <a:spLocks noEditPoints="1"/>
                          </wps:cNvSpPr>
                          <wps:spPr bwMode="auto">
                            <a:xfrm>
                              <a:off x="1204111" y="4527"/>
                              <a:ext cx="207010" cy="192405"/>
                            </a:xfrm>
                            <a:custGeom>
                              <a:avLst/>
                              <a:gdLst>
                                <a:gd name="T0" fmla="*/ 136 w 272"/>
                                <a:gd name="T1" fmla="*/ 75 h 252"/>
                                <a:gd name="T2" fmla="*/ 104 w 272"/>
                                <a:gd name="T3" fmla="*/ 148 h 252"/>
                                <a:gd name="T4" fmla="*/ 168 w 272"/>
                                <a:gd name="T5" fmla="*/ 148 h 252"/>
                                <a:gd name="T6" fmla="*/ 136 w 272"/>
                                <a:gd name="T7" fmla="*/ 75 h 252"/>
                                <a:gd name="T8" fmla="*/ 212 w 272"/>
                                <a:gd name="T9" fmla="*/ 252 h 252"/>
                                <a:gd name="T10" fmla="*/ 189 w 272"/>
                                <a:gd name="T11" fmla="*/ 198 h 252"/>
                                <a:gd name="T12" fmla="*/ 83 w 272"/>
                                <a:gd name="T13" fmla="*/ 198 h 252"/>
                                <a:gd name="T14" fmla="*/ 60 w 272"/>
                                <a:gd name="T15" fmla="*/ 252 h 252"/>
                                <a:gd name="T16" fmla="*/ 0 w 272"/>
                                <a:gd name="T17" fmla="*/ 252 h 252"/>
                                <a:gd name="T18" fmla="*/ 109 w 272"/>
                                <a:gd name="T19" fmla="*/ 0 h 252"/>
                                <a:gd name="T20" fmla="*/ 163 w 272"/>
                                <a:gd name="T21" fmla="*/ 0 h 252"/>
                                <a:gd name="T22" fmla="*/ 272 w 272"/>
                                <a:gd name="T23" fmla="*/ 252 h 252"/>
                                <a:gd name="T24" fmla="*/ 212 w 272"/>
                                <a:gd name="T25" fmla="*/ 252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2" h="252">
                                  <a:moveTo>
                                    <a:pt x="136" y="75"/>
                                  </a:moveTo>
                                  <a:lnTo>
                                    <a:pt x="104" y="148"/>
                                  </a:lnTo>
                                  <a:lnTo>
                                    <a:pt x="168" y="148"/>
                                  </a:lnTo>
                                  <a:lnTo>
                                    <a:pt x="136" y="75"/>
                                  </a:lnTo>
                                  <a:close/>
                                  <a:moveTo>
                                    <a:pt x="212" y="252"/>
                                  </a:moveTo>
                                  <a:lnTo>
                                    <a:pt x="189" y="198"/>
                                  </a:lnTo>
                                  <a:lnTo>
                                    <a:pt x="83" y="198"/>
                                  </a:lnTo>
                                  <a:lnTo>
                                    <a:pt x="60" y="252"/>
                                  </a:lnTo>
                                  <a:lnTo>
                                    <a:pt x="0" y="252"/>
                                  </a:lnTo>
                                  <a:lnTo>
                                    <a:pt x="109" y="0"/>
                                  </a:lnTo>
                                  <a:lnTo>
                                    <a:pt x="163" y="0"/>
                                  </a:lnTo>
                                  <a:lnTo>
                                    <a:pt x="272" y="252"/>
                                  </a:lnTo>
                                  <a:lnTo>
                                    <a:pt x="212" y="25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
                          <wps:cNvSpPr>
                            <a:spLocks/>
                          </wps:cNvSpPr>
                          <wps:spPr bwMode="auto">
                            <a:xfrm>
                              <a:off x="1403287" y="4527"/>
                              <a:ext cx="151765" cy="192405"/>
                            </a:xfrm>
                            <a:custGeom>
                              <a:avLst/>
                              <a:gdLst>
                                <a:gd name="T0" fmla="*/ 154 w 239"/>
                                <a:gd name="T1" fmla="*/ 59 h 303"/>
                                <a:gd name="T2" fmla="*/ 154 w 239"/>
                                <a:gd name="T3" fmla="*/ 303 h 303"/>
                                <a:gd name="T4" fmla="*/ 87 w 239"/>
                                <a:gd name="T5" fmla="*/ 303 h 303"/>
                                <a:gd name="T6" fmla="*/ 87 w 239"/>
                                <a:gd name="T7" fmla="*/ 59 h 303"/>
                                <a:gd name="T8" fmla="*/ 0 w 239"/>
                                <a:gd name="T9" fmla="*/ 59 h 303"/>
                                <a:gd name="T10" fmla="*/ 0 w 239"/>
                                <a:gd name="T11" fmla="*/ 0 h 303"/>
                                <a:gd name="T12" fmla="*/ 239 w 239"/>
                                <a:gd name="T13" fmla="*/ 0 h 303"/>
                                <a:gd name="T14" fmla="*/ 239 w 239"/>
                                <a:gd name="T15" fmla="*/ 59 h 303"/>
                                <a:gd name="T16" fmla="*/ 154 w 239"/>
                                <a:gd name="T17" fmla="*/ 59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9" h="303">
                                  <a:moveTo>
                                    <a:pt x="154" y="59"/>
                                  </a:moveTo>
                                  <a:lnTo>
                                    <a:pt x="154" y="303"/>
                                  </a:lnTo>
                                  <a:lnTo>
                                    <a:pt x="87" y="303"/>
                                  </a:lnTo>
                                  <a:lnTo>
                                    <a:pt x="87" y="59"/>
                                  </a:lnTo>
                                  <a:lnTo>
                                    <a:pt x="0" y="59"/>
                                  </a:lnTo>
                                  <a:lnTo>
                                    <a:pt x="0" y="0"/>
                                  </a:lnTo>
                                  <a:lnTo>
                                    <a:pt x="239" y="0"/>
                                  </a:lnTo>
                                  <a:lnTo>
                                    <a:pt x="239" y="59"/>
                                  </a:lnTo>
                                  <a:lnTo>
                                    <a:pt x="154" y="5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Rectangle 13"/>
                          <wps:cNvSpPr>
                            <a:spLocks noChangeArrowheads="1"/>
                          </wps:cNvSpPr>
                          <wps:spPr bwMode="auto">
                            <a:xfrm>
                              <a:off x="1584356" y="4527"/>
                              <a:ext cx="43180" cy="19240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Freeform 14"/>
                          <wps:cNvSpPr>
                            <a:spLocks noEditPoints="1"/>
                          </wps:cNvSpPr>
                          <wps:spPr bwMode="auto">
                            <a:xfrm>
                              <a:off x="1665837" y="0"/>
                              <a:ext cx="201930" cy="198755"/>
                            </a:xfrm>
                            <a:custGeom>
                              <a:avLst/>
                              <a:gdLst>
                                <a:gd name="T0" fmla="*/ 208 w 265"/>
                                <a:gd name="T1" fmla="*/ 131 h 261"/>
                                <a:gd name="T2" fmla="*/ 186 w 265"/>
                                <a:gd name="T3" fmla="*/ 73 h 261"/>
                                <a:gd name="T4" fmla="*/ 133 w 265"/>
                                <a:gd name="T5" fmla="*/ 49 h 261"/>
                                <a:gd name="T6" fmla="*/ 80 w 265"/>
                                <a:gd name="T7" fmla="*/ 73 h 261"/>
                                <a:gd name="T8" fmla="*/ 58 w 265"/>
                                <a:gd name="T9" fmla="*/ 131 h 261"/>
                                <a:gd name="T10" fmla="*/ 80 w 265"/>
                                <a:gd name="T11" fmla="*/ 188 h 261"/>
                                <a:gd name="T12" fmla="*/ 133 w 265"/>
                                <a:gd name="T13" fmla="*/ 212 h 261"/>
                                <a:gd name="T14" fmla="*/ 186 w 265"/>
                                <a:gd name="T15" fmla="*/ 188 h 261"/>
                                <a:gd name="T16" fmla="*/ 208 w 265"/>
                                <a:gd name="T17" fmla="*/ 131 h 261"/>
                                <a:gd name="T18" fmla="*/ 227 w 265"/>
                                <a:gd name="T19" fmla="*/ 223 h 261"/>
                                <a:gd name="T20" fmla="*/ 133 w 265"/>
                                <a:gd name="T21" fmla="*/ 261 h 261"/>
                                <a:gd name="T22" fmla="*/ 39 w 265"/>
                                <a:gd name="T23" fmla="*/ 223 h 261"/>
                                <a:gd name="T24" fmla="*/ 0 w 265"/>
                                <a:gd name="T25" fmla="*/ 130 h 261"/>
                                <a:gd name="T26" fmla="*/ 39 w 265"/>
                                <a:gd name="T27" fmla="*/ 37 h 261"/>
                                <a:gd name="T28" fmla="*/ 133 w 265"/>
                                <a:gd name="T29" fmla="*/ 0 h 261"/>
                                <a:gd name="T30" fmla="*/ 227 w 265"/>
                                <a:gd name="T31" fmla="*/ 37 h 261"/>
                                <a:gd name="T32" fmla="*/ 265 w 265"/>
                                <a:gd name="T33" fmla="*/ 130 h 261"/>
                                <a:gd name="T34" fmla="*/ 227 w 265"/>
                                <a:gd name="T35" fmla="*/ 22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5" h="261">
                                  <a:moveTo>
                                    <a:pt x="208" y="131"/>
                                  </a:moveTo>
                                  <a:cubicBezTo>
                                    <a:pt x="208" y="108"/>
                                    <a:pt x="201" y="89"/>
                                    <a:pt x="186" y="73"/>
                                  </a:cubicBezTo>
                                  <a:cubicBezTo>
                                    <a:pt x="172" y="57"/>
                                    <a:pt x="154" y="49"/>
                                    <a:pt x="133" y="49"/>
                                  </a:cubicBezTo>
                                  <a:cubicBezTo>
                                    <a:pt x="112" y="49"/>
                                    <a:pt x="94" y="57"/>
                                    <a:pt x="80" y="73"/>
                                  </a:cubicBezTo>
                                  <a:cubicBezTo>
                                    <a:pt x="65" y="89"/>
                                    <a:pt x="58" y="108"/>
                                    <a:pt x="58" y="131"/>
                                  </a:cubicBezTo>
                                  <a:cubicBezTo>
                                    <a:pt x="58" y="153"/>
                                    <a:pt x="65" y="172"/>
                                    <a:pt x="80" y="188"/>
                                  </a:cubicBezTo>
                                  <a:cubicBezTo>
                                    <a:pt x="94" y="204"/>
                                    <a:pt x="112" y="212"/>
                                    <a:pt x="133" y="212"/>
                                  </a:cubicBezTo>
                                  <a:cubicBezTo>
                                    <a:pt x="154" y="212"/>
                                    <a:pt x="172" y="204"/>
                                    <a:pt x="186" y="188"/>
                                  </a:cubicBezTo>
                                  <a:cubicBezTo>
                                    <a:pt x="201" y="172"/>
                                    <a:pt x="208" y="153"/>
                                    <a:pt x="208" y="131"/>
                                  </a:cubicBezTo>
                                  <a:close/>
                                  <a:moveTo>
                                    <a:pt x="227" y="223"/>
                                  </a:moveTo>
                                  <a:cubicBezTo>
                                    <a:pt x="201" y="248"/>
                                    <a:pt x="170" y="261"/>
                                    <a:pt x="133" y="261"/>
                                  </a:cubicBezTo>
                                  <a:cubicBezTo>
                                    <a:pt x="95" y="261"/>
                                    <a:pt x="64" y="248"/>
                                    <a:pt x="39" y="223"/>
                                  </a:cubicBezTo>
                                  <a:cubicBezTo>
                                    <a:pt x="13" y="198"/>
                                    <a:pt x="0" y="167"/>
                                    <a:pt x="0" y="130"/>
                                  </a:cubicBezTo>
                                  <a:cubicBezTo>
                                    <a:pt x="0" y="93"/>
                                    <a:pt x="13" y="62"/>
                                    <a:pt x="39" y="37"/>
                                  </a:cubicBezTo>
                                  <a:cubicBezTo>
                                    <a:pt x="64" y="13"/>
                                    <a:pt x="95" y="0"/>
                                    <a:pt x="133" y="0"/>
                                  </a:cubicBezTo>
                                  <a:cubicBezTo>
                                    <a:pt x="170" y="0"/>
                                    <a:pt x="201" y="13"/>
                                    <a:pt x="227" y="37"/>
                                  </a:cubicBezTo>
                                  <a:cubicBezTo>
                                    <a:pt x="252" y="62"/>
                                    <a:pt x="265" y="93"/>
                                    <a:pt x="265" y="130"/>
                                  </a:cubicBezTo>
                                  <a:cubicBezTo>
                                    <a:pt x="265" y="167"/>
                                    <a:pt x="252" y="198"/>
                                    <a:pt x="227" y="22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
                          <wps:cNvSpPr>
                            <a:spLocks/>
                          </wps:cNvSpPr>
                          <wps:spPr bwMode="auto">
                            <a:xfrm>
                              <a:off x="1901228" y="4527"/>
                              <a:ext cx="177800" cy="192405"/>
                            </a:xfrm>
                            <a:custGeom>
                              <a:avLst/>
                              <a:gdLst>
                                <a:gd name="T0" fmla="*/ 211 w 280"/>
                                <a:gd name="T1" fmla="*/ 0 h 303"/>
                                <a:gd name="T2" fmla="*/ 280 w 280"/>
                                <a:gd name="T3" fmla="*/ 0 h 303"/>
                                <a:gd name="T4" fmla="*/ 280 w 280"/>
                                <a:gd name="T5" fmla="*/ 303 h 303"/>
                                <a:gd name="T6" fmla="*/ 211 w 280"/>
                                <a:gd name="T7" fmla="*/ 303 h 303"/>
                                <a:gd name="T8" fmla="*/ 67 w 280"/>
                                <a:gd name="T9" fmla="*/ 113 h 303"/>
                                <a:gd name="T10" fmla="*/ 67 w 280"/>
                                <a:gd name="T11" fmla="*/ 303 h 303"/>
                                <a:gd name="T12" fmla="*/ 0 w 280"/>
                                <a:gd name="T13" fmla="*/ 303 h 303"/>
                                <a:gd name="T14" fmla="*/ 0 w 280"/>
                                <a:gd name="T15" fmla="*/ 0 h 303"/>
                                <a:gd name="T16" fmla="*/ 64 w 280"/>
                                <a:gd name="T17" fmla="*/ 0 h 303"/>
                                <a:gd name="T18" fmla="*/ 211 w 280"/>
                                <a:gd name="T19" fmla="*/ 195 h 303"/>
                                <a:gd name="T20" fmla="*/ 211 w 280"/>
                                <a:gd name="T21" fmla="*/ 0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0" h="303">
                                  <a:moveTo>
                                    <a:pt x="211" y="0"/>
                                  </a:moveTo>
                                  <a:lnTo>
                                    <a:pt x="280" y="0"/>
                                  </a:lnTo>
                                  <a:lnTo>
                                    <a:pt x="280" y="303"/>
                                  </a:lnTo>
                                  <a:lnTo>
                                    <a:pt x="211" y="303"/>
                                  </a:lnTo>
                                  <a:lnTo>
                                    <a:pt x="67" y="113"/>
                                  </a:lnTo>
                                  <a:lnTo>
                                    <a:pt x="67" y="303"/>
                                  </a:lnTo>
                                  <a:lnTo>
                                    <a:pt x="0" y="303"/>
                                  </a:lnTo>
                                  <a:lnTo>
                                    <a:pt x="0" y="0"/>
                                  </a:lnTo>
                                  <a:lnTo>
                                    <a:pt x="64" y="0"/>
                                  </a:lnTo>
                                  <a:lnTo>
                                    <a:pt x="211" y="195"/>
                                  </a:lnTo>
                                  <a:lnTo>
                                    <a:pt x="21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F886FFB" id="Gruppieren 21" o:spid="_x0000_s1026" style="position:absolute;margin-left:1.35pt;margin-top:.95pt;width:69.3pt;height:6.5pt;z-index:251655168;mso-width-relative:margin;mso-height-relative:margin" coordsize="20790,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">
                  <v:shape id="Freeform 5" o:spid="_x0000_s1027" style="position:absolute;width:1797;height:1987;visibility:visible;mso-wrap-style:square;v-text-anchor:top" coordsize="23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" path="m131,208v28,,50,-11,68,-33l235,213v-29,32,-62,48,-101,48c95,261,63,249,38,224,13,200,,169,,131,,94,13,63,38,38,64,13,95,,132,v42,,76,16,104,47l201,87c184,65,161,54,135,54v-21,,-39,7,-54,21c66,88,58,107,58,131v,23,7,42,21,56c94,201,111,208,131,208e" filled="f" stroked="f">
                    <v:path arrowok="t" o:connecttype="custom" o:connectlocs="99752,158395;151531,133265;178944,162202;102036,198755;28936,170579;0,99758;28936,28938;100513,0;179705,35791;153054,66252;102797,41122;61678,57114;44165,99758;60155,142403;99752,158395" o:connectangles="0,0,0,0,0,0,0,0,0,0,0,0,0,0,0"/>
                  </v:shape>
                  <v:shape id="Freeform 6" o:spid="_x0000_s1028" style="position:absolute;left:1946;width:2019;height:1987;visibility:visible;mso-wrap-style:square;v-text-anchor:top" coordsize="26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" path="m208,131v,-23,-7,-42,-22,-58c172,57,154,49,133,49v-21,,-39,8,-53,24c65,89,58,108,58,131v,22,7,41,22,57c94,204,112,212,133,212v21,,39,-8,53,-24c201,172,208,153,208,131xm227,223v-25,25,-57,38,-94,38c96,261,64,248,39,223,13,198,,167,,130,,93,13,62,39,37,64,13,96,,133,v37,,69,13,94,37c253,62,265,93,265,130v,37,-12,68,-38,93xe" filled="f" stroked="f">
                    <v:path arrowok="t" o:connecttype="custom" o:connectlocs="158496,99758;141732,55590;101346,37314;60960,55590;44196,99758;60960,143165;101346,161441;141732,143165;158496,99758;172974,169817;101346,198755;29718,169817;0,98997;29718,28176;101346,0;172974,28176;201930,98997;172974,169817" o:connectangles="0,0,0,0,0,0,0,0,0,0,0,0,0,0,0,0,0,0"/>
                    <o:lock v:ext="edit" verticies="t"/>
                  </v:shape>
                  <v:shape id="Freeform 7" o:spid="_x0000_s1029" style="position:absolute;left:4255;width:2013;height:1987;visibility:visible;mso-wrap-style:square;v-text-anchor:top" coordsize="26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" path="m207,131v,-23,-7,-42,-22,-58c171,57,153,49,132,49v-21,,-39,8,-53,24c64,89,57,108,57,131v,22,7,41,22,57c93,204,111,212,132,212v21,,39,-8,53,-24c200,172,207,153,207,131xm226,223v-25,25,-57,38,-94,38c95,261,63,248,38,223,12,198,,167,,130,,93,12,62,38,37,63,13,95,,132,v37,,69,13,94,37c252,62,264,93,264,130v,37,-12,68,-38,93xe" filled="f" stroked="f">
                    <v:path arrowok="t" o:connecttype="custom" o:connectlocs="157834,99758;141059,55590;100648,37314;60236,55590;43461,99758;60236,143165;100648,161441;141059,143165;157834,99758;172321,169817;100648,198755;28974,169817;0,98997;28974,28176;100648,0;172321,28176;201295,98997;172321,169817" o:connectangles="0,0,0,0,0,0,0,0,0,0,0,0,0,0,0,0,0,0"/>
                    <o:lock v:ext="edit" verticies="t"/>
                  </v:shape>
                  <v:shape id="Freeform 8" o:spid="_x0000_s1030" style="position:absolute;left:6609;top:45;width:1524;height:1924;visibility:visible;mso-wrap-style:square;v-text-anchor:top" coordsize="20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" path="m132,122v7,-8,11,-19,11,-34c143,74,138,64,129,57,121,51,107,48,88,48r-32,l56,133r38,c113,133,126,129,132,122xm174,22v17,15,26,39,26,70c200,123,191,146,173,160v-18,15,-46,22,-83,22l56,182r,70l,252,,,89,v39,,67,7,85,22e" filled="f" stroked="f">
                    <v:path arrowok="t" o:connecttype="custom" o:connectlocs="100584,93148;108966,67189;98298,43520;67056,36649;42672,36649;42672,101547;71628,101547;100584,93148;132588,16797;152400,70243;131826,122162;68580,138959;42672,138959;42672,192405;0,192405;0,0;67818,0;132588,16797" o:connectangles="0,0,0,0,0,0,0,0,0,0,0,0,0,0,0,0,0,0"/>
                    <o:lock v:ext="edit" verticies="t"/>
                  </v:shape>
                  <v:shape id="Freeform 9" o:spid="_x0000_s1031" style="position:absolute;left:8464;top:45;width:1417;height:1924;visibility:visible;mso-wrap-style:square;v-text-anchor:top" coordsize="22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" path="m218,r,60l69,60r,63l204,123r,57l69,180r,63l223,243r,60l,303,,,218,xe" filled="f" stroked="f">
                    <v:path arrowok="t" o:connecttype="custom" o:connectlocs="138430,0;138430,38100;43815,38100;43815,78105;129540,78105;129540,114300;43815,114300;43815,154305;141605,154305;141605,192405;0,192405;0,0;138430,0" o:connectangles="0,0,0,0,0,0,0,0,0,0,0,0,0"/>
                  </v:shape>
                  <v:shape id="Freeform 10" o:spid="_x0000_s1032" style="position:absolute;left:10275;top:45;width:1683;height:1924;visibility:visible;mso-wrap-style:square;v-text-anchor:top" coordsize="22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" path="m137,114v7,-7,10,-17,10,-30c147,70,144,61,137,56,129,51,117,48,99,48r-42,l57,123r41,c117,123,130,120,137,114xm205,84v,40,-16,66,-48,78l221,252r-70,l96,172r-39,l57,252,,252,,,96,v39,,67,6,84,20c197,33,205,54,205,84e" filled="f" stroked="f">
                    <v:path arrowok="t" o:connecttype="custom" o:connectlocs="104315,87040;111930,64135;104315,42757;75381,36649;43401,36649;43401,93912;74620,93912;104315,87040;156092,64135;119544,123689;168275,192405;114975,192405;73097,131324;43401,131324;43401,192405;0,192405;0,0;73097,0;137057,15270;156092,64135" o:connectangles="0,0,0,0,0,0,0,0,0,0,0,0,0,0,0,0,0,0,0,0"/>
                    <o:lock v:ext="edit" verticies="t"/>
                  </v:shape>
                  <v:shape id="Freeform 11" o:spid="_x0000_s1033" style="position:absolute;left:12041;top:45;width:2070;height:1924;visibility:visible;mso-wrap-style:square;v-text-anchor:top" coordsize="27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" path="m136,75r-32,73l168,148,136,75xm212,252l189,198r-106,l60,252,,252,109,r54,l272,252r-60,xe" filled="f" stroked="f">
                    <v:path arrowok="t" o:connecttype="custom" o:connectlocs="103505,57263;79151,113000;127859,113000;103505,57263;161346,192405;143842,151175;63168,151175;45664,192405;0,192405;82956,0;124054,0;207010,192405;161346,192405" o:connectangles="0,0,0,0,0,0,0,0,0,0,0,0,0"/>
                    <o:lock v:ext="edit" verticies="t"/>
                  </v:shape>
                  <v:shape id="Freeform 12" o:spid="_x0000_s1034" style="position:absolute;left:14032;top:45;width:1518;height:1924;visibility:visible;mso-wrap-style:square;v-text-anchor:top" coordsize="23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" path="m154,59r,244l87,303,87,59,,59,,,239,r,59l154,59xe" filled="f" stroked="f">
                    <v:path arrowok="t" o:connecttype="custom" o:connectlocs="97790,37465;97790,192405;55245,192405;55245,37465;0,37465;0,0;151765,0;151765,37465;97790,37465" o:connectangles="0,0,0,0,0,0,0,0,0"/>
                  </v:shape>
                  <v:rect id="Rectangle 13" o:spid="_x0000_s1035" style="position:absolute;left:15843;top:45;width:432;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7kxAAAANsAAAAPAAAAZHJzL2Rvd25yZXYueG1sRI9Ba8JA&#10;FITvhf6H5RV6KbpRQU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Cv1DuTEAAAA2wAAAA8A&#10;AAAAAAAAAAAAAAAABwIAAGRycy9kb3ducmV2LnhtbFBLBQYAAAAAAwADALcAAAD4AgAAAAA=&#10;" filled="f" stroked="f"/>
                  <v:shape id="Freeform 14" o:spid="_x0000_s1036" style="position:absolute;left:16658;width:2019;height:1987;visibility:visible;mso-wrap-style:square;v-text-anchor:top" coordsize="26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" path="m208,131v,-23,-7,-42,-22,-58c172,57,154,49,133,49v-21,,-39,8,-53,24c65,89,58,108,58,131v,22,7,41,22,57c94,204,112,212,133,212v21,,39,-8,53,-24c201,172,208,153,208,131xm227,223v-26,25,-57,38,-94,38c95,261,64,248,39,223,13,198,,167,,130,,93,13,62,39,37,64,13,95,,133,v37,,68,13,94,37c252,62,265,93,265,130v,37,-13,68,-38,93xe" filled="f" stroked="f">
                    <v:path arrowok="t" o:connecttype="custom" o:connectlocs="158496,99758;141732,55590;101346,37314;60960,55590;44196,99758;60960,143165;101346,161441;141732,143165;158496,99758;172974,169817;101346,198755;29718,169817;0,98997;29718,28176;101346,0;172974,28176;201930,98997;172974,169817" o:connectangles="0,0,0,0,0,0,0,0,0,0,0,0,0,0,0,0,0,0"/>
                    <o:lock v:ext="edit" verticies="t"/>
                  </v:shape>
                  <v:shape id="Freeform 15" o:spid="_x0000_s1037" style="position:absolute;left:19012;top:45;width:1778;height:1924;visibility:visible;mso-wrap-style:square;v-text-anchor:top" coordsize="28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" path="m211,r69,l280,303r-69,l67,113r,190l,303,,,64,,211,195,211,xe" filled="f" stroked="f">
                    <v:path arrowok="t" o:connecttype="custom" o:connectlocs="133985,0;177800,0;177800,192405;133985,192405;42545,71755;42545,192405;0,192405;0,0;40640,0;133985,123825;133985,0" o:connectangles="0,0,0,0,0,0,0,0,0,0,0"/>
                  </v:shape>
                </v:group>
              </w:pict>
            </mc:Fallback>
          </mc:AlternateContent>
        </w:r>
        <w:r w:rsidRPr="006F5C70">
          <w:rPr>
            <w:b w:val="0"/>
            <w:sz w:val="17"/>
            <w:szCs w:val="17"/>
          </w:rPr>
          <w:t xml:space="preserve">Page </w:t>
        </w:r>
        <w:r w:rsidRPr="006F5C70">
          <w:rPr>
            <w:b w:val="0"/>
            <w:sz w:val="17"/>
            <w:szCs w:val="17"/>
          </w:rPr>
          <w:fldChar w:fldCharType="begin"/>
        </w:r>
        <w:r w:rsidRPr="006F5C70">
          <w:rPr>
            <w:b w:val="0"/>
            <w:sz w:val="17"/>
            <w:szCs w:val="17"/>
          </w:rPr>
          <w:instrText>PAGE   \* MERGEFORMAT</w:instrText>
        </w:r>
        <w:r w:rsidRPr="006F5C70">
          <w:rPr>
            <w:b w:val="0"/>
            <w:sz w:val="17"/>
            <w:szCs w:val="17"/>
          </w:rPr>
          <w:fldChar w:fldCharType="separate"/>
        </w:r>
        <w:r w:rsidR="00960A36">
          <w:rPr>
            <w:b w:val="0"/>
            <w:noProof/>
            <w:sz w:val="17"/>
            <w:szCs w:val="17"/>
          </w:rPr>
          <w:t>44</w:t>
        </w:r>
        <w:r w:rsidRPr="006F5C70">
          <w:rPr>
            <w:b w:val="0"/>
            <w:sz w:val="17"/>
            <w:szCs w:val="17"/>
          </w:rPr>
          <w:fldChar w:fldCharType="end"/>
        </w:r>
      </w:p>
    </w:sdtContent>
  </w:sdt>
  <w:p w14:paraId="3F2E9820" w14:textId="77777777" w:rsidR="00FC1A26" w:rsidRPr="006F5C70" w:rsidRDefault="00FC1A26" w:rsidP="00DA073A">
    <w:pPr>
      <w:pStyle w:val="Podnoje"/>
      <w:tabs>
        <w:tab w:val="clear" w:pos="4536"/>
        <w:tab w:val="clear" w:pos="9072"/>
      </w:tabs>
      <w:ind w:left="0" w:right="-2"/>
      <w:rPr>
        <w:noProof w:val="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516D80" w14:textId="77777777" w:rsidR="00AD3844" w:rsidRPr="006F5C70" w:rsidRDefault="00AD3844" w:rsidP="007F69D3">
      <w:pPr>
        <w:spacing w:before="0" w:line="240" w:lineRule="auto"/>
        <w:ind w:left="0" w:right="340"/>
        <w:jc w:val="left"/>
      </w:pPr>
      <w:r w:rsidRPr="006F5C70">
        <w:separator/>
      </w:r>
    </w:p>
  </w:footnote>
  <w:footnote w:type="continuationSeparator" w:id="0">
    <w:p w14:paraId="3BE3E64D" w14:textId="77777777" w:rsidR="00AD3844" w:rsidRPr="006F5C70" w:rsidRDefault="00AD3844" w:rsidP="00924079">
      <w:pPr>
        <w:ind w:left="0"/>
      </w:pPr>
      <w:r w:rsidRPr="006F5C70">
        <w:continuationSeparator/>
      </w:r>
    </w:p>
    <w:p w14:paraId="3106F3FC" w14:textId="77777777" w:rsidR="00AD3844" w:rsidRPr="006F5C70" w:rsidRDefault="00AD3844" w:rsidP="00C12DFF">
      <w:pPr>
        <w:ind w:left="0"/>
      </w:pPr>
    </w:p>
  </w:footnote>
  <w:footnote w:type="continuationNotice" w:id="1">
    <w:p w14:paraId="6CF8F803" w14:textId="77777777" w:rsidR="00AD3844" w:rsidRPr="006F5C70" w:rsidRDefault="00AD3844" w:rsidP="00C12DFF">
      <w:pPr>
        <w:ind w:left="0"/>
      </w:pPr>
    </w:p>
  </w:footnote>
  <w:footnote w:id="2">
    <w:p w14:paraId="0246ACD4" w14:textId="4814E109" w:rsidR="001C0F1A" w:rsidRPr="001C0F1A" w:rsidRDefault="001C0F1A">
      <w:pPr>
        <w:pStyle w:val="Tekstfusnote"/>
        <w:rPr>
          <w:lang w:val="hr-HR"/>
        </w:rPr>
      </w:pPr>
      <w:r>
        <w:rPr>
          <w:rStyle w:val="Referencafusnote"/>
        </w:rPr>
        <w:footnoteRef/>
      </w:r>
      <w:r>
        <w:t xml:space="preserve"> </w:t>
      </w:r>
      <w:hyperlink r:id="rId1" w:history="1">
        <w:r w:rsidRPr="002F15DB">
          <w:rPr>
            <w:rStyle w:val="Hiperveza"/>
            <w:i/>
            <w:iCs/>
            <w:sz w:val="14"/>
            <w:szCs w:val="14"/>
          </w:rPr>
          <w:t>https://eur-lex.europa.eu/legal-content/EN/TXT/PDF/?uri=CELEX:52020DC0301</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6DB09" w14:textId="257E5D08" w:rsidR="00FC1A26" w:rsidRPr="006F5C70" w:rsidRDefault="00FC1A26" w:rsidP="00C8321B">
    <w:pPr>
      <w:pStyle w:val="Zaglavlje"/>
      <w:jc w:val="center"/>
    </w:pPr>
    <w:r w:rsidRPr="006F5C70">
      <w:rPr>
        <w:noProof/>
        <w:lang w:val="hr-HR" w:eastAsia="hr-HR"/>
      </w:rPr>
      <w:drawing>
        <wp:anchor distT="0" distB="0" distL="114300" distR="114300" simplePos="0" relativeHeight="251665408" behindDoc="0" locked="0" layoutInCell="1" allowOverlap="1" wp14:anchorId="09D214EA" wp14:editId="6C4854DA">
          <wp:simplePos x="0" y="0"/>
          <wp:positionH relativeFrom="column">
            <wp:posOffset>3156151</wp:posOffset>
          </wp:positionH>
          <wp:positionV relativeFrom="paragraph">
            <wp:posOffset>111318</wp:posOffset>
          </wp:positionV>
          <wp:extent cx="3278847" cy="1390552"/>
          <wp:effectExtent l="0" t="0" r="0" b="635"/>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78847" cy="1390552"/>
                  </a:xfrm>
                  <a:prstGeom prst="rect">
                    <a:avLst/>
                  </a:prstGeom>
                </pic:spPr>
              </pic:pic>
            </a:graphicData>
          </a:graphic>
          <wp14:sizeRelH relativeFrom="page">
            <wp14:pctWidth>0</wp14:pctWidth>
          </wp14:sizeRelH>
          <wp14:sizeRelV relativeFrom="page">
            <wp14:pctHeight>0</wp14:pctHeight>
          </wp14:sizeRelV>
        </wp:anchor>
      </w:drawing>
    </w:r>
  </w:p>
  <w:p w14:paraId="2F3DA76F" w14:textId="1DF06721" w:rsidR="00FC1A26" w:rsidRPr="006F5C70" w:rsidRDefault="00FC1A26"/>
  <w:p w14:paraId="6B4D2BE2" w14:textId="09604B23" w:rsidR="00FC1A26" w:rsidRPr="006F5C70" w:rsidRDefault="00FC1A26" w:rsidP="00EE4C26">
    <w:pPr>
      <w:tabs>
        <w:tab w:val="left" w:pos="6270"/>
      </w:tabs>
      <w:rPr>
        <w:lang w:eastAsia="de-AT"/>
      </w:rPr>
    </w:pPr>
    <w:r w:rsidRPr="006F5C70">
      <w:rPr>
        <w:noProof/>
        <w:lang w:val="hr-HR" w:eastAsia="hr-HR"/>
      </w:rPr>
      <mc:AlternateContent>
        <mc:Choice Requires="wps">
          <w:drawing>
            <wp:anchor distT="0" distB="0" distL="114300" distR="114300" simplePos="0" relativeHeight="251663360" behindDoc="1" locked="0" layoutInCell="1" allowOverlap="1" wp14:anchorId="689AB174" wp14:editId="5185B34D">
              <wp:simplePos x="0" y="0"/>
              <wp:positionH relativeFrom="column">
                <wp:posOffset>-144145</wp:posOffset>
              </wp:positionH>
              <wp:positionV relativeFrom="paragraph">
                <wp:posOffset>201768</wp:posOffset>
              </wp:positionV>
              <wp:extent cx="611886" cy="454025"/>
              <wp:effectExtent l="0" t="0" r="0" b="53975"/>
              <wp:wrapNone/>
              <wp:docPr id="4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rot="8649012">
                        <a:off x="0" y="0"/>
                        <a:ext cx="611886" cy="454025"/>
                      </a:xfrm>
                      <a:custGeom>
                        <a:avLst/>
                        <a:gdLst>
                          <a:gd name="T0" fmla="*/ 1393 w 1875"/>
                          <a:gd name="T1" fmla="*/ 410 h 1391"/>
                          <a:gd name="T2" fmla="*/ 881 w 1875"/>
                          <a:gd name="T3" fmla="*/ 256 h 1391"/>
                          <a:gd name="T4" fmla="*/ 766 w 1875"/>
                          <a:gd name="T5" fmla="*/ 243 h 1391"/>
                          <a:gd name="T6" fmla="*/ 664 w 1875"/>
                          <a:gd name="T7" fmla="*/ 99 h 1391"/>
                          <a:gd name="T8" fmla="*/ 558 w 1875"/>
                          <a:gd name="T9" fmla="*/ 40 h 1391"/>
                          <a:gd name="T10" fmla="*/ 644 w 1875"/>
                          <a:gd name="T11" fmla="*/ 120 h 1391"/>
                          <a:gd name="T12" fmla="*/ 748 w 1875"/>
                          <a:gd name="T13" fmla="*/ 263 h 1391"/>
                          <a:gd name="T14" fmla="*/ 124 w 1875"/>
                          <a:gd name="T15" fmla="*/ 491 h 1391"/>
                          <a:gd name="T16" fmla="*/ 35 w 1875"/>
                          <a:gd name="T17" fmla="*/ 464 h 1391"/>
                          <a:gd name="T18" fmla="*/ 102 w 1875"/>
                          <a:gd name="T19" fmla="*/ 564 h 1391"/>
                          <a:gd name="T20" fmla="*/ 742 w 1875"/>
                          <a:gd name="T21" fmla="*/ 335 h 1391"/>
                          <a:gd name="T22" fmla="*/ 867 w 1875"/>
                          <a:gd name="T23" fmla="*/ 369 h 1391"/>
                          <a:gd name="T24" fmla="*/ 895 w 1875"/>
                          <a:gd name="T25" fmla="*/ 328 h 1391"/>
                          <a:gd name="T26" fmla="*/ 1389 w 1875"/>
                          <a:gd name="T27" fmla="*/ 459 h 1391"/>
                          <a:gd name="T28" fmla="*/ 1121 w 1875"/>
                          <a:gd name="T29" fmla="*/ 1097 h 1391"/>
                          <a:gd name="T30" fmla="*/ 1005 w 1875"/>
                          <a:gd name="T31" fmla="*/ 1084 h 1391"/>
                          <a:gd name="T32" fmla="*/ 907 w 1875"/>
                          <a:gd name="T33" fmla="*/ 1270 h 1391"/>
                          <a:gd name="T34" fmla="*/ 1092 w 1875"/>
                          <a:gd name="T35" fmla="*/ 1368 h 1391"/>
                          <a:gd name="T36" fmla="*/ 1191 w 1875"/>
                          <a:gd name="T37" fmla="*/ 1268 h 1391"/>
                          <a:gd name="T38" fmla="*/ 1391 w 1875"/>
                          <a:gd name="T39" fmla="*/ 1353 h 1391"/>
                          <a:gd name="T40" fmla="*/ 1494 w 1875"/>
                          <a:gd name="T41" fmla="*/ 1291 h 1391"/>
                          <a:gd name="T42" fmla="*/ 1387 w 1875"/>
                          <a:gd name="T43" fmla="*/ 1301 h 1391"/>
                          <a:gd name="T44" fmla="*/ 1190 w 1875"/>
                          <a:gd name="T45" fmla="*/ 1182 h 1391"/>
                          <a:gd name="T46" fmla="*/ 1487 w 1875"/>
                          <a:gd name="T47" fmla="*/ 653 h 1391"/>
                          <a:gd name="T48" fmla="*/ 1874 w 1875"/>
                          <a:gd name="T49" fmla="*/ 457 h 1391"/>
                          <a:gd name="T50" fmla="*/ 858 w 1875"/>
                          <a:gd name="T51" fmla="*/ 358 h 1391"/>
                          <a:gd name="T52" fmla="*/ 760 w 1875"/>
                          <a:gd name="T53" fmla="*/ 270 h 1391"/>
                          <a:gd name="T54" fmla="*/ 870 w 1875"/>
                          <a:gd name="T55" fmla="*/ 264 h 1391"/>
                          <a:gd name="T56" fmla="*/ 858 w 1875"/>
                          <a:gd name="T57" fmla="*/ 358 h 1391"/>
                          <a:gd name="T58" fmla="*/ 1162 w 1875"/>
                          <a:gd name="T59" fmla="*/ 1297 h 1391"/>
                          <a:gd name="T60" fmla="*/ 986 w 1875"/>
                          <a:gd name="T61" fmla="*/ 1345 h 1391"/>
                          <a:gd name="T62" fmla="*/ 935 w 1875"/>
                          <a:gd name="T63" fmla="*/ 1156 h 1391"/>
                          <a:gd name="T64" fmla="*/ 1111 w 1875"/>
                          <a:gd name="T65" fmla="*/ 1108 h 1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75" h="1391">
                            <a:moveTo>
                              <a:pt x="1630" y="215"/>
                            </a:moveTo>
                            <a:cubicBezTo>
                              <a:pt x="1513" y="216"/>
                              <a:pt x="1415" y="300"/>
                              <a:pt x="1393" y="410"/>
                            </a:cubicBezTo>
                            <a:lnTo>
                              <a:pt x="898" y="314"/>
                            </a:lnTo>
                            <a:cubicBezTo>
                              <a:pt x="900" y="294"/>
                              <a:pt x="894" y="273"/>
                              <a:pt x="881" y="256"/>
                            </a:cubicBezTo>
                            <a:cubicBezTo>
                              <a:pt x="853" y="220"/>
                              <a:pt x="802" y="214"/>
                              <a:pt x="767" y="242"/>
                            </a:cubicBezTo>
                            <a:lnTo>
                              <a:pt x="766" y="243"/>
                            </a:lnTo>
                            <a:lnTo>
                              <a:pt x="655" y="110"/>
                            </a:lnTo>
                            <a:cubicBezTo>
                              <a:pt x="658" y="107"/>
                              <a:pt x="661" y="103"/>
                              <a:pt x="664" y="99"/>
                            </a:cubicBezTo>
                            <a:cubicBezTo>
                              <a:pt x="680" y="69"/>
                              <a:pt x="669" y="33"/>
                              <a:pt x="640" y="17"/>
                            </a:cubicBezTo>
                            <a:cubicBezTo>
                              <a:pt x="611" y="0"/>
                              <a:pt x="574" y="11"/>
                              <a:pt x="558" y="40"/>
                            </a:cubicBezTo>
                            <a:cubicBezTo>
                              <a:pt x="542" y="69"/>
                              <a:pt x="552" y="106"/>
                              <a:pt x="582" y="122"/>
                            </a:cubicBezTo>
                            <a:cubicBezTo>
                              <a:pt x="602" y="133"/>
                              <a:pt x="626" y="131"/>
                              <a:pt x="644" y="120"/>
                            </a:cubicBezTo>
                            <a:lnTo>
                              <a:pt x="756" y="253"/>
                            </a:lnTo>
                            <a:cubicBezTo>
                              <a:pt x="753" y="256"/>
                              <a:pt x="750" y="259"/>
                              <a:pt x="748" y="263"/>
                            </a:cubicBezTo>
                            <a:cubicBezTo>
                              <a:pt x="737" y="281"/>
                              <a:pt x="734" y="302"/>
                              <a:pt x="738" y="321"/>
                            </a:cubicBezTo>
                            <a:lnTo>
                              <a:pt x="124" y="491"/>
                            </a:lnTo>
                            <a:cubicBezTo>
                              <a:pt x="122" y="487"/>
                              <a:pt x="121" y="484"/>
                              <a:pt x="119" y="481"/>
                            </a:cubicBezTo>
                            <a:cubicBezTo>
                              <a:pt x="100" y="453"/>
                              <a:pt x="62" y="446"/>
                              <a:pt x="35" y="464"/>
                            </a:cubicBezTo>
                            <a:cubicBezTo>
                              <a:pt x="7" y="483"/>
                              <a:pt x="0" y="520"/>
                              <a:pt x="19" y="548"/>
                            </a:cubicBezTo>
                            <a:cubicBezTo>
                              <a:pt x="37" y="576"/>
                              <a:pt x="75" y="583"/>
                              <a:pt x="102" y="564"/>
                            </a:cubicBezTo>
                            <a:cubicBezTo>
                              <a:pt x="123" y="551"/>
                              <a:pt x="132" y="527"/>
                              <a:pt x="128" y="504"/>
                            </a:cubicBezTo>
                            <a:lnTo>
                              <a:pt x="742" y="335"/>
                            </a:lnTo>
                            <a:cubicBezTo>
                              <a:pt x="744" y="342"/>
                              <a:pt x="748" y="349"/>
                              <a:pt x="753" y="355"/>
                            </a:cubicBezTo>
                            <a:cubicBezTo>
                              <a:pt x="781" y="391"/>
                              <a:pt x="832" y="397"/>
                              <a:pt x="867" y="369"/>
                            </a:cubicBezTo>
                            <a:cubicBezTo>
                              <a:pt x="875" y="363"/>
                              <a:pt x="881" y="356"/>
                              <a:pt x="886" y="348"/>
                            </a:cubicBezTo>
                            <a:cubicBezTo>
                              <a:pt x="890" y="342"/>
                              <a:pt x="893" y="335"/>
                              <a:pt x="895" y="328"/>
                            </a:cubicBezTo>
                            <a:lnTo>
                              <a:pt x="1391" y="425"/>
                            </a:lnTo>
                            <a:cubicBezTo>
                              <a:pt x="1390" y="436"/>
                              <a:pt x="1389" y="447"/>
                              <a:pt x="1389" y="459"/>
                            </a:cubicBezTo>
                            <a:cubicBezTo>
                              <a:pt x="1389" y="533"/>
                              <a:pt x="1423" y="600"/>
                              <a:pt x="1476" y="644"/>
                            </a:cubicBezTo>
                            <a:lnTo>
                              <a:pt x="1121" y="1097"/>
                            </a:lnTo>
                            <a:cubicBezTo>
                              <a:pt x="1121" y="1097"/>
                              <a:pt x="1122" y="1097"/>
                              <a:pt x="1118" y="1095"/>
                            </a:cubicBezTo>
                            <a:cubicBezTo>
                              <a:pt x="1083" y="1077"/>
                              <a:pt x="1043" y="1073"/>
                              <a:pt x="1005" y="1084"/>
                            </a:cubicBezTo>
                            <a:cubicBezTo>
                              <a:pt x="970" y="1095"/>
                              <a:pt x="941" y="1118"/>
                              <a:pt x="922" y="1148"/>
                            </a:cubicBezTo>
                            <a:cubicBezTo>
                              <a:pt x="900" y="1185"/>
                              <a:pt x="894" y="1229"/>
                              <a:pt x="907" y="1270"/>
                            </a:cubicBezTo>
                            <a:cubicBezTo>
                              <a:pt x="918" y="1308"/>
                              <a:pt x="944" y="1339"/>
                              <a:pt x="979" y="1357"/>
                            </a:cubicBezTo>
                            <a:cubicBezTo>
                              <a:pt x="1014" y="1376"/>
                              <a:pt x="1054" y="1380"/>
                              <a:pt x="1092" y="1368"/>
                            </a:cubicBezTo>
                            <a:cubicBezTo>
                              <a:pt x="1126" y="1357"/>
                              <a:pt x="1156" y="1335"/>
                              <a:pt x="1175" y="1304"/>
                            </a:cubicBezTo>
                            <a:cubicBezTo>
                              <a:pt x="1182" y="1293"/>
                              <a:pt x="1187" y="1281"/>
                              <a:pt x="1191" y="1268"/>
                            </a:cubicBezTo>
                            <a:lnTo>
                              <a:pt x="1383" y="1315"/>
                            </a:lnTo>
                            <a:cubicBezTo>
                              <a:pt x="1382" y="1328"/>
                              <a:pt x="1384" y="1341"/>
                              <a:pt x="1391" y="1353"/>
                            </a:cubicBezTo>
                            <a:cubicBezTo>
                              <a:pt x="1409" y="1382"/>
                              <a:pt x="1446" y="1391"/>
                              <a:pt x="1474" y="1373"/>
                            </a:cubicBezTo>
                            <a:cubicBezTo>
                              <a:pt x="1503" y="1356"/>
                              <a:pt x="1512" y="1319"/>
                              <a:pt x="1494" y="1291"/>
                            </a:cubicBezTo>
                            <a:cubicBezTo>
                              <a:pt x="1477" y="1262"/>
                              <a:pt x="1440" y="1253"/>
                              <a:pt x="1412" y="1270"/>
                            </a:cubicBezTo>
                            <a:cubicBezTo>
                              <a:pt x="1400" y="1278"/>
                              <a:pt x="1391" y="1289"/>
                              <a:pt x="1387" y="1301"/>
                            </a:cubicBezTo>
                            <a:lnTo>
                              <a:pt x="1194" y="1254"/>
                            </a:lnTo>
                            <a:cubicBezTo>
                              <a:pt x="1198" y="1231"/>
                              <a:pt x="1197" y="1206"/>
                              <a:pt x="1190" y="1182"/>
                            </a:cubicBezTo>
                            <a:cubicBezTo>
                              <a:pt x="1180" y="1150"/>
                              <a:pt x="1160" y="1123"/>
                              <a:pt x="1133" y="1104"/>
                            </a:cubicBezTo>
                            <a:lnTo>
                              <a:pt x="1487" y="653"/>
                            </a:lnTo>
                            <a:cubicBezTo>
                              <a:pt x="1528" y="683"/>
                              <a:pt x="1578" y="701"/>
                              <a:pt x="1633" y="701"/>
                            </a:cubicBezTo>
                            <a:cubicBezTo>
                              <a:pt x="1767" y="700"/>
                              <a:pt x="1875" y="591"/>
                              <a:pt x="1874" y="457"/>
                            </a:cubicBezTo>
                            <a:cubicBezTo>
                              <a:pt x="1874" y="323"/>
                              <a:pt x="1764" y="214"/>
                              <a:pt x="1630" y="215"/>
                            </a:cubicBezTo>
                            <a:moveTo>
                              <a:pt x="858" y="358"/>
                            </a:moveTo>
                            <a:cubicBezTo>
                              <a:pt x="829" y="381"/>
                              <a:pt x="787" y="376"/>
                              <a:pt x="764" y="347"/>
                            </a:cubicBezTo>
                            <a:cubicBezTo>
                              <a:pt x="747" y="325"/>
                              <a:pt x="746" y="294"/>
                              <a:pt x="760" y="270"/>
                            </a:cubicBezTo>
                            <a:cubicBezTo>
                              <a:pt x="764" y="264"/>
                              <a:pt x="770" y="258"/>
                              <a:pt x="776" y="253"/>
                            </a:cubicBezTo>
                            <a:cubicBezTo>
                              <a:pt x="805" y="230"/>
                              <a:pt x="847" y="235"/>
                              <a:pt x="870" y="264"/>
                            </a:cubicBezTo>
                            <a:cubicBezTo>
                              <a:pt x="887" y="286"/>
                              <a:pt x="888" y="317"/>
                              <a:pt x="874" y="341"/>
                            </a:cubicBezTo>
                            <a:cubicBezTo>
                              <a:pt x="870" y="347"/>
                              <a:pt x="864" y="353"/>
                              <a:pt x="858" y="358"/>
                            </a:cubicBezTo>
                            <a:moveTo>
                              <a:pt x="1176" y="1187"/>
                            </a:moveTo>
                            <a:cubicBezTo>
                              <a:pt x="1188" y="1224"/>
                              <a:pt x="1183" y="1264"/>
                              <a:pt x="1162" y="1297"/>
                            </a:cubicBezTo>
                            <a:cubicBezTo>
                              <a:pt x="1145" y="1324"/>
                              <a:pt x="1119" y="1345"/>
                              <a:pt x="1088" y="1354"/>
                            </a:cubicBezTo>
                            <a:cubicBezTo>
                              <a:pt x="1054" y="1365"/>
                              <a:pt x="1017" y="1361"/>
                              <a:pt x="986" y="1345"/>
                            </a:cubicBezTo>
                            <a:cubicBezTo>
                              <a:pt x="954" y="1328"/>
                              <a:pt x="931" y="1300"/>
                              <a:pt x="920" y="1266"/>
                            </a:cubicBezTo>
                            <a:cubicBezTo>
                              <a:pt x="909" y="1229"/>
                              <a:pt x="914" y="1189"/>
                              <a:pt x="935" y="1156"/>
                            </a:cubicBezTo>
                            <a:cubicBezTo>
                              <a:pt x="952" y="1128"/>
                              <a:pt x="978" y="1108"/>
                              <a:pt x="1009" y="1098"/>
                            </a:cubicBezTo>
                            <a:cubicBezTo>
                              <a:pt x="1043" y="1088"/>
                              <a:pt x="1079" y="1091"/>
                              <a:pt x="1111" y="1108"/>
                            </a:cubicBezTo>
                            <a:cubicBezTo>
                              <a:pt x="1143" y="1124"/>
                              <a:pt x="1166" y="1152"/>
                              <a:pt x="1176" y="1187"/>
                            </a:cubicBezTo>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6C660D" id="Freeform 8" o:spid="_x0000_s1026" style="position:absolute;margin-left:-11.35pt;margin-top:15.9pt;width:48.2pt;height:35.75pt;rotation:9447028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75,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" path="m1630,215v-117,1,-215,85,-237,195l898,314v2,-20,-4,-41,-17,-58c853,220,802,214,767,242r-1,1l655,110v3,-3,6,-7,9,-11c680,69,669,33,640,17,611,,574,11,558,40v-16,29,-6,66,24,82c602,133,626,131,644,120l756,253v-3,3,-6,6,-8,10c737,281,734,302,738,321l124,491v-2,-4,-3,-7,-5,-10c100,453,62,446,35,464,7,483,,520,19,548v18,28,56,35,83,16c123,551,132,527,128,504l742,335v2,7,6,14,11,20c781,391,832,397,867,369v8,-6,14,-13,19,-21c890,342,893,335,895,328r496,97c1390,436,1389,447,1389,459v,74,34,141,87,185l1121,1097v,,1,,-3,-2c1083,1077,1043,1073,1005,1084v-35,11,-64,34,-83,64c900,1185,894,1229,907,1270v11,38,37,69,72,87c1014,1376,1054,1380,1092,1368v34,-11,64,-33,83,-64c1182,1293,1187,1281,1191,1268r192,47c1382,1328,1384,1341,1391,1353v18,29,55,38,83,20c1503,1356,1512,1319,1494,1291v-17,-29,-54,-38,-82,-21c1400,1278,1391,1289,1387,1301r-193,-47c1198,1231,1197,1206,1190,1182v-10,-32,-30,-59,-57,-78l1487,653v41,30,91,48,146,48c1767,700,1875,591,1874,457v,-134,-110,-243,-244,-242m858,358v-29,23,-71,18,-94,-11c747,325,746,294,760,270v4,-6,10,-12,16,-17c805,230,847,235,870,264v17,22,18,53,4,77c870,347,864,353,858,358t318,829c1188,1224,1183,1264,1162,1297v-17,27,-43,48,-74,57c1054,1365,1017,1361,986,1345v-32,-17,-55,-45,-66,-79c909,1229,914,1189,935,1156v17,-28,43,-48,74,-58c1043,1088,1079,1091,1111,1108v32,16,55,44,65,79e" fillcolor="#9aca3c [3207]" stroked="f">
              <v:path arrowok="t" o:connecttype="custom" o:connectlocs="454591,133825;287505,83559;249976,79316;216689,32314;182097,13056;210162,39168;244102,85844;40466,160263;11422,151450;33287,184091;242144,109345;282936,120442;292074,107060;453285,149818;365826,358063;327971,353820;295990,414530;356362,446518;388670,413878;453938,441622;487551,421385;452632,424649;388344,385807;485266,213140;611560,149166;279999,116852;248018,88129;283915,86170;279999,116852;379206,423343;321770,439011;305127,377321;362563,361653" o:connectangles="0,0,0,0,0,0,0,0,0,0,0,0,0,0,0,0,0,0,0,0,0,0,0,0,0,0,0,0,0,0,0,0,0"/>
              <o:lock v:ext="edit" verticies="t"/>
            </v:shape>
          </w:pict>
        </mc:Fallback>
      </mc:AlternateContent>
    </w:r>
    <w:r w:rsidRPr="006F5C70">
      <w:rPr>
        <w:lang w:eastAsia="de-AT"/>
      </w:rPr>
      <w:tab/>
    </w:r>
  </w:p>
  <w:p w14:paraId="0A995FC9" w14:textId="245D6CE0" w:rsidR="00FC1A26" w:rsidRPr="006F5C70" w:rsidRDefault="00FC1A26"/>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C1C72" w14:textId="77777777" w:rsidR="00FC1A26" w:rsidRPr="006F5C70" w:rsidRDefault="00FC1A26" w:rsidP="00D41EE5">
    <w:pPr>
      <w:pStyle w:val="Zaglavlje"/>
      <w:ind w:left="-155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C13A1"/>
    <w:multiLevelType w:val="hybridMultilevel"/>
    <w:tmpl w:val="96BE8EA8"/>
    <w:lvl w:ilvl="0" w:tplc="0C070001">
      <w:start w:val="1"/>
      <w:numFmt w:val="bullet"/>
      <w:lvlText w:val=""/>
      <w:lvlJc w:val="left"/>
      <w:pPr>
        <w:ind w:left="-1124" w:hanging="360"/>
      </w:pPr>
      <w:rPr>
        <w:rFonts w:ascii="Symbol" w:hAnsi="Symbol" w:hint="default"/>
      </w:rPr>
    </w:lvl>
    <w:lvl w:ilvl="1" w:tplc="0C070003" w:tentative="1">
      <w:start w:val="1"/>
      <w:numFmt w:val="bullet"/>
      <w:lvlText w:val="o"/>
      <w:lvlJc w:val="left"/>
      <w:pPr>
        <w:ind w:left="-404" w:hanging="360"/>
      </w:pPr>
      <w:rPr>
        <w:rFonts w:ascii="Courier New" w:hAnsi="Courier New" w:cs="Courier New" w:hint="default"/>
      </w:rPr>
    </w:lvl>
    <w:lvl w:ilvl="2" w:tplc="0C070005" w:tentative="1">
      <w:start w:val="1"/>
      <w:numFmt w:val="bullet"/>
      <w:lvlText w:val=""/>
      <w:lvlJc w:val="left"/>
      <w:pPr>
        <w:ind w:left="316" w:hanging="360"/>
      </w:pPr>
      <w:rPr>
        <w:rFonts w:ascii="Wingdings" w:hAnsi="Wingdings" w:hint="default"/>
      </w:rPr>
    </w:lvl>
    <w:lvl w:ilvl="3" w:tplc="0C070001" w:tentative="1">
      <w:start w:val="1"/>
      <w:numFmt w:val="bullet"/>
      <w:lvlText w:val=""/>
      <w:lvlJc w:val="left"/>
      <w:pPr>
        <w:ind w:left="1036" w:hanging="360"/>
      </w:pPr>
      <w:rPr>
        <w:rFonts w:ascii="Symbol" w:hAnsi="Symbol" w:hint="default"/>
      </w:rPr>
    </w:lvl>
    <w:lvl w:ilvl="4" w:tplc="0C070003" w:tentative="1">
      <w:start w:val="1"/>
      <w:numFmt w:val="bullet"/>
      <w:lvlText w:val="o"/>
      <w:lvlJc w:val="left"/>
      <w:pPr>
        <w:ind w:left="1756" w:hanging="360"/>
      </w:pPr>
      <w:rPr>
        <w:rFonts w:ascii="Courier New" w:hAnsi="Courier New" w:cs="Courier New" w:hint="default"/>
      </w:rPr>
    </w:lvl>
    <w:lvl w:ilvl="5" w:tplc="0C070005" w:tentative="1">
      <w:start w:val="1"/>
      <w:numFmt w:val="bullet"/>
      <w:lvlText w:val=""/>
      <w:lvlJc w:val="left"/>
      <w:pPr>
        <w:ind w:left="2476" w:hanging="360"/>
      </w:pPr>
      <w:rPr>
        <w:rFonts w:ascii="Wingdings" w:hAnsi="Wingdings" w:hint="default"/>
      </w:rPr>
    </w:lvl>
    <w:lvl w:ilvl="6" w:tplc="0C070001" w:tentative="1">
      <w:start w:val="1"/>
      <w:numFmt w:val="bullet"/>
      <w:lvlText w:val=""/>
      <w:lvlJc w:val="left"/>
      <w:pPr>
        <w:ind w:left="3196" w:hanging="360"/>
      </w:pPr>
      <w:rPr>
        <w:rFonts w:ascii="Symbol" w:hAnsi="Symbol" w:hint="default"/>
      </w:rPr>
    </w:lvl>
    <w:lvl w:ilvl="7" w:tplc="0C070003" w:tentative="1">
      <w:start w:val="1"/>
      <w:numFmt w:val="bullet"/>
      <w:lvlText w:val="o"/>
      <w:lvlJc w:val="left"/>
      <w:pPr>
        <w:ind w:left="3916" w:hanging="360"/>
      </w:pPr>
      <w:rPr>
        <w:rFonts w:ascii="Courier New" w:hAnsi="Courier New" w:cs="Courier New" w:hint="default"/>
      </w:rPr>
    </w:lvl>
    <w:lvl w:ilvl="8" w:tplc="0C070005" w:tentative="1">
      <w:start w:val="1"/>
      <w:numFmt w:val="bullet"/>
      <w:lvlText w:val=""/>
      <w:lvlJc w:val="left"/>
      <w:pPr>
        <w:ind w:left="4636" w:hanging="360"/>
      </w:pPr>
      <w:rPr>
        <w:rFonts w:ascii="Wingdings" w:hAnsi="Wingdings" w:hint="default"/>
      </w:rPr>
    </w:lvl>
  </w:abstractNum>
  <w:abstractNum w:abstractNumId="1" w15:restartNumberingAfterBreak="0">
    <w:nsid w:val="04CC2973"/>
    <w:multiLevelType w:val="multilevel"/>
    <w:tmpl w:val="DC72C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3" w15:restartNumberingAfterBreak="0">
    <w:nsid w:val="06447BAE"/>
    <w:multiLevelType w:val="multilevel"/>
    <w:tmpl w:val="283CF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5" w15:restartNumberingAfterBreak="0">
    <w:nsid w:val="07CE1607"/>
    <w:multiLevelType w:val="multilevel"/>
    <w:tmpl w:val="58BA6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293E9E"/>
    <w:multiLevelType w:val="multilevel"/>
    <w:tmpl w:val="E22C5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0C7372"/>
    <w:multiLevelType w:val="multilevel"/>
    <w:tmpl w:val="4C2CA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9929DB"/>
    <w:multiLevelType w:val="multilevel"/>
    <w:tmpl w:val="FD820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443DEC"/>
    <w:multiLevelType w:val="hybridMultilevel"/>
    <w:tmpl w:val="87A42EF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0EDF2766"/>
    <w:multiLevelType w:val="hybridMultilevel"/>
    <w:tmpl w:val="0DA6FBEC"/>
    <w:lvl w:ilvl="0" w:tplc="0407000F">
      <w:start w:val="1"/>
      <w:numFmt w:val="decimal"/>
      <w:pStyle w:val="Naslov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11" w15:restartNumberingAfterBreak="0">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90ABB1" w:themeColor="accent1"/>
        <w:sz w:val="18"/>
      </w:rPr>
    </w:lvl>
    <w:lvl w:ilvl="1">
      <w:start w:val="1"/>
      <w:numFmt w:val="bullet"/>
      <w:lvlText w:val=""/>
      <w:lvlJc w:val="left"/>
      <w:pPr>
        <w:ind w:left="568" w:hanging="284"/>
      </w:pPr>
      <w:rPr>
        <w:rFonts w:ascii="Wingdings" w:hAnsi="Wingdings"/>
        <w:color w:val="90ABB1" w:themeColor="accent1"/>
        <w:sz w:val="24"/>
      </w:rPr>
    </w:lvl>
    <w:lvl w:ilvl="2">
      <w:start w:val="1"/>
      <w:numFmt w:val="bullet"/>
      <w:lvlText w:val="&gt;"/>
      <w:lvlJc w:val="left"/>
      <w:pPr>
        <w:ind w:left="852" w:hanging="284"/>
      </w:pPr>
      <w:rPr>
        <w:rFonts w:ascii="Trebuchet MS" w:hAnsi="Trebuchet MS" w:hint="default"/>
        <w:color w:val="90ABB1" w:themeColor="accent1"/>
      </w:rPr>
    </w:lvl>
    <w:lvl w:ilvl="3">
      <w:start w:val="1"/>
      <w:numFmt w:val="bullet"/>
      <w:lvlText w:val="&gt;"/>
      <w:lvlJc w:val="left"/>
      <w:pPr>
        <w:ind w:left="1136" w:hanging="284"/>
      </w:pPr>
      <w:rPr>
        <w:rFonts w:ascii="Trebuchet MS" w:hAnsi="Trebuchet MS" w:hint="default"/>
        <w:color w:val="90ABB1" w:themeColor="accent1"/>
      </w:rPr>
    </w:lvl>
    <w:lvl w:ilvl="4">
      <w:start w:val="1"/>
      <w:numFmt w:val="bullet"/>
      <w:lvlText w:val="&gt;"/>
      <w:lvlJc w:val="left"/>
      <w:pPr>
        <w:ind w:left="1420" w:hanging="284"/>
      </w:pPr>
      <w:rPr>
        <w:rFonts w:ascii="Trebuchet MS" w:hAnsi="Trebuchet MS" w:cs="Courier New" w:hint="default"/>
        <w:color w:val="90ABB1" w:themeColor="accent1"/>
      </w:rPr>
    </w:lvl>
    <w:lvl w:ilvl="5">
      <w:start w:val="1"/>
      <w:numFmt w:val="bullet"/>
      <w:lvlText w:val="&gt;"/>
      <w:lvlJc w:val="left"/>
      <w:pPr>
        <w:ind w:left="1704" w:hanging="284"/>
      </w:pPr>
      <w:rPr>
        <w:rFonts w:ascii="Trebuchet MS" w:hAnsi="Trebuchet MS" w:hint="default"/>
        <w:color w:val="90ABB1" w:themeColor="accent1"/>
      </w:rPr>
    </w:lvl>
    <w:lvl w:ilvl="6">
      <w:start w:val="1"/>
      <w:numFmt w:val="bullet"/>
      <w:lvlText w:val="&gt;"/>
      <w:lvlJc w:val="left"/>
      <w:pPr>
        <w:ind w:left="1988" w:hanging="284"/>
      </w:pPr>
      <w:rPr>
        <w:rFonts w:ascii="Trebuchet MS" w:hAnsi="Trebuchet MS" w:hint="default"/>
        <w:color w:val="90ABB1" w:themeColor="accent1"/>
      </w:rPr>
    </w:lvl>
    <w:lvl w:ilvl="7">
      <w:start w:val="1"/>
      <w:numFmt w:val="bullet"/>
      <w:lvlText w:val="&gt;"/>
      <w:lvlJc w:val="left"/>
      <w:pPr>
        <w:ind w:left="2272" w:hanging="284"/>
      </w:pPr>
      <w:rPr>
        <w:rFonts w:ascii="Trebuchet MS" w:hAnsi="Trebuchet MS" w:cs="Courier New" w:hint="default"/>
        <w:color w:val="90ABB1" w:themeColor="accent1"/>
      </w:rPr>
    </w:lvl>
    <w:lvl w:ilvl="8">
      <w:start w:val="1"/>
      <w:numFmt w:val="bullet"/>
      <w:lvlText w:val="&gt;"/>
      <w:lvlJc w:val="left"/>
      <w:pPr>
        <w:ind w:left="2556" w:hanging="284"/>
      </w:pPr>
      <w:rPr>
        <w:rFonts w:ascii="Trebuchet MS" w:hAnsi="Trebuchet MS" w:hint="default"/>
        <w:color w:val="90ABB1" w:themeColor="accent1"/>
      </w:rPr>
    </w:lvl>
  </w:abstractNum>
  <w:abstractNum w:abstractNumId="12" w15:restartNumberingAfterBreak="0">
    <w:nsid w:val="105B2D7F"/>
    <w:multiLevelType w:val="multilevel"/>
    <w:tmpl w:val="5EAEA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EE082F"/>
    <w:multiLevelType w:val="multilevel"/>
    <w:tmpl w:val="28C6A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CC2B02"/>
    <w:multiLevelType w:val="multilevel"/>
    <w:tmpl w:val="6636B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6E32C54"/>
    <w:multiLevelType w:val="hybridMultilevel"/>
    <w:tmpl w:val="B876F9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8761947"/>
    <w:multiLevelType w:val="multilevel"/>
    <w:tmpl w:val="D130D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B80AAC"/>
    <w:multiLevelType w:val="multilevel"/>
    <w:tmpl w:val="0C78C84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0D65A71"/>
    <w:multiLevelType w:val="multilevel"/>
    <w:tmpl w:val="BFA223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40D51B8"/>
    <w:multiLevelType w:val="multilevel"/>
    <w:tmpl w:val="99223750"/>
    <w:styleLink w:val="CE-HeadNumbering"/>
    <w:lvl w:ilvl="0">
      <w:start w:val="1"/>
      <w:numFmt w:val="decimal"/>
      <w:pStyle w:val="CE-Headline1"/>
      <w:suff w:val="space"/>
      <w:lvlText w:val="%1."/>
      <w:lvlJc w:val="left"/>
      <w:pPr>
        <w:ind w:left="2835"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0" w15:restartNumberingAfterBreak="0">
    <w:nsid w:val="24592C70"/>
    <w:multiLevelType w:val="multilevel"/>
    <w:tmpl w:val="221C0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626DA0"/>
    <w:multiLevelType w:val="multilevel"/>
    <w:tmpl w:val="BB54F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4C01312"/>
    <w:multiLevelType w:val="multilevel"/>
    <w:tmpl w:val="99223750"/>
    <w:numStyleLink w:val="CE-HeadNumbering"/>
  </w:abstractNum>
  <w:abstractNum w:abstractNumId="23" w15:restartNumberingAfterBreak="0">
    <w:nsid w:val="279C3B0D"/>
    <w:multiLevelType w:val="multilevel"/>
    <w:tmpl w:val="357894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8226578"/>
    <w:multiLevelType w:val="multilevel"/>
    <w:tmpl w:val="EFECD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A8D0CB5"/>
    <w:multiLevelType w:val="multilevel"/>
    <w:tmpl w:val="48FC7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E24613E"/>
    <w:multiLevelType w:val="hybridMultilevel"/>
    <w:tmpl w:val="3B186FC2"/>
    <w:lvl w:ilvl="0" w:tplc="6316D04E">
      <w:start w:val="1"/>
      <w:numFmt w:val="decimal"/>
      <w:pStyle w:val="Naslov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28" w15:restartNumberingAfterBreak="0">
    <w:nsid w:val="2EA77F6B"/>
    <w:multiLevelType w:val="hybridMultilevel"/>
    <w:tmpl w:val="BFA46FA8"/>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FFB7D05"/>
    <w:multiLevelType w:val="multilevel"/>
    <w:tmpl w:val="D374B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18507E8"/>
    <w:multiLevelType w:val="multilevel"/>
    <w:tmpl w:val="D98C9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1FA02C5"/>
    <w:multiLevelType w:val="multilevel"/>
    <w:tmpl w:val="F400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32417A9"/>
    <w:multiLevelType w:val="multilevel"/>
    <w:tmpl w:val="74B811E0"/>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33" w15:restartNumberingAfterBreak="0">
    <w:nsid w:val="3408584D"/>
    <w:multiLevelType w:val="multilevel"/>
    <w:tmpl w:val="AAEC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90ABB1"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36DF45DD"/>
    <w:multiLevelType w:val="multilevel"/>
    <w:tmpl w:val="E32A83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7975240"/>
    <w:multiLevelType w:val="multilevel"/>
    <w:tmpl w:val="6048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8" w15:restartNumberingAfterBreak="0">
    <w:nsid w:val="3A6F7862"/>
    <w:multiLevelType w:val="multilevel"/>
    <w:tmpl w:val="B56C78C4"/>
    <w:styleLink w:val="CE-ListStandardText"/>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39" w15:restartNumberingAfterBreak="0">
    <w:nsid w:val="3AA45860"/>
    <w:multiLevelType w:val="multilevel"/>
    <w:tmpl w:val="6D06D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AC841D3"/>
    <w:multiLevelType w:val="hybridMultilevel"/>
    <w:tmpl w:val="0914B0E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3C4605CF"/>
    <w:multiLevelType w:val="hybridMultilevel"/>
    <w:tmpl w:val="0032DAD4"/>
    <w:lvl w:ilvl="0" w:tplc="0C070001">
      <w:start w:val="1"/>
      <w:numFmt w:val="bullet"/>
      <w:lvlText w:val=""/>
      <w:lvlJc w:val="left"/>
      <w:pPr>
        <w:ind w:left="778" w:hanging="360"/>
      </w:pPr>
      <w:rPr>
        <w:rFonts w:ascii="Symbol" w:hAnsi="Symbol" w:hint="default"/>
      </w:rPr>
    </w:lvl>
    <w:lvl w:ilvl="1" w:tplc="0C070003" w:tentative="1">
      <w:start w:val="1"/>
      <w:numFmt w:val="bullet"/>
      <w:lvlText w:val="o"/>
      <w:lvlJc w:val="left"/>
      <w:pPr>
        <w:ind w:left="1498" w:hanging="360"/>
      </w:pPr>
      <w:rPr>
        <w:rFonts w:ascii="Courier New" w:hAnsi="Courier New" w:cs="Courier New" w:hint="default"/>
      </w:rPr>
    </w:lvl>
    <w:lvl w:ilvl="2" w:tplc="0C070005" w:tentative="1">
      <w:start w:val="1"/>
      <w:numFmt w:val="bullet"/>
      <w:lvlText w:val=""/>
      <w:lvlJc w:val="left"/>
      <w:pPr>
        <w:ind w:left="2218" w:hanging="360"/>
      </w:pPr>
      <w:rPr>
        <w:rFonts w:ascii="Wingdings" w:hAnsi="Wingdings" w:hint="default"/>
      </w:rPr>
    </w:lvl>
    <w:lvl w:ilvl="3" w:tplc="0C070001" w:tentative="1">
      <w:start w:val="1"/>
      <w:numFmt w:val="bullet"/>
      <w:lvlText w:val=""/>
      <w:lvlJc w:val="left"/>
      <w:pPr>
        <w:ind w:left="2938" w:hanging="360"/>
      </w:pPr>
      <w:rPr>
        <w:rFonts w:ascii="Symbol" w:hAnsi="Symbol" w:hint="default"/>
      </w:rPr>
    </w:lvl>
    <w:lvl w:ilvl="4" w:tplc="0C070003" w:tentative="1">
      <w:start w:val="1"/>
      <w:numFmt w:val="bullet"/>
      <w:lvlText w:val="o"/>
      <w:lvlJc w:val="left"/>
      <w:pPr>
        <w:ind w:left="3658" w:hanging="360"/>
      </w:pPr>
      <w:rPr>
        <w:rFonts w:ascii="Courier New" w:hAnsi="Courier New" w:cs="Courier New" w:hint="default"/>
      </w:rPr>
    </w:lvl>
    <w:lvl w:ilvl="5" w:tplc="0C070005" w:tentative="1">
      <w:start w:val="1"/>
      <w:numFmt w:val="bullet"/>
      <w:lvlText w:val=""/>
      <w:lvlJc w:val="left"/>
      <w:pPr>
        <w:ind w:left="4378" w:hanging="360"/>
      </w:pPr>
      <w:rPr>
        <w:rFonts w:ascii="Wingdings" w:hAnsi="Wingdings" w:hint="default"/>
      </w:rPr>
    </w:lvl>
    <w:lvl w:ilvl="6" w:tplc="0C070001" w:tentative="1">
      <w:start w:val="1"/>
      <w:numFmt w:val="bullet"/>
      <w:lvlText w:val=""/>
      <w:lvlJc w:val="left"/>
      <w:pPr>
        <w:ind w:left="5098" w:hanging="360"/>
      </w:pPr>
      <w:rPr>
        <w:rFonts w:ascii="Symbol" w:hAnsi="Symbol" w:hint="default"/>
      </w:rPr>
    </w:lvl>
    <w:lvl w:ilvl="7" w:tplc="0C070003" w:tentative="1">
      <w:start w:val="1"/>
      <w:numFmt w:val="bullet"/>
      <w:lvlText w:val="o"/>
      <w:lvlJc w:val="left"/>
      <w:pPr>
        <w:ind w:left="5818" w:hanging="360"/>
      </w:pPr>
      <w:rPr>
        <w:rFonts w:ascii="Courier New" w:hAnsi="Courier New" w:cs="Courier New" w:hint="default"/>
      </w:rPr>
    </w:lvl>
    <w:lvl w:ilvl="8" w:tplc="0C070005" w:tentative="1">
      <w:start w:val="1"/>
      <w:numFmt w:val="bullet"/>
      <w:lvlText w:val=""/>
      <w:lvlJc w:val="left"/>
      <w:pPr>
        <w:ind w:left="6538" w:hanging="360"/>
      </w:pPr>
      <w:rPr>
        <w:rFonts w:ascii="Wingdings" w:hAnsi="Wingdings" w:hint="default"/>
      </w:rPr>
    </w:lvl>
  </w:abstractNum>
  <w:abstractNum w:abstractNumId="43" w15:restartNumberingAfterBreak="0">
    <w:nsid w:val="3C960020"/>
    <w:multiLevelType w:val="hybridMultilevel"/>
    <w:tmpl w:val="6540C3B4"/>
    <w:lvl w:ilvl="0" w:tplc="6E0A1512">
      <w:start w:val="1"/>
      <w:numFmt w:val="bullet"/>
      <w:pStyle w:val="CE-BulletPoint1"/>
      <w:lvlText w:val=""/>
      <w:lvlJc w:val="left"/>
      <w:pPr>
        <w:ind w:left="1353" w:hanging="360"/>
      </w:pPr>
      <w:rPr>
        <w:rFonts w:ascii="Wingdings 2" w:hAnsi="Wingdings 2" w:hint="default"/>
        <w:color w:val="708792" w:themeColor="background2"/>
      </w:rPr>
    </w:lvl>
    <w:lvl w:ilvl="1" w:tplc="AB5216AE">
      <w:start w:val="1"/>
      <w:numFmt w:val="bullet"/>
      <w:pStyle w:val="bulletpoints2"/>
      <w:lvlText w:val=""/>
      <w:lvlJc w:val="left"/>
      <w:pPr>
        <w:ind w:left="2073" w:hanging="360"/>
      </w:pPr>
      <w:rPr>
        <w:rFonts w:ascii="Wingdings" w:hAnsi="Wingdings" w:hint="default"/>
        <w:color w:val="708792" w:themeColor="background2"/>
        <w:spacing w:val="0"/>
        <w:w w:val="100"/>
        <w:position w:val="0"/>
        <w:sz w:val="24"/>
      </w:rPr>
    </w:lvl>
    <w:lvl w:ilvl="2" w:tplc="CEF056AE">
      <w:start w:val="1"/>
      <w:numFmt w:val="bullet"/>
      <w:pStyle w:val="CE-BulletPoint3"/>
      <w:lvlText w:val="&gt;"/>
      <w:lvlJc w:val="left"/>
      <w:pPr>
        <w:ind w:left="2793" w:hanging="360"/>
      </w:pPr>
      <w:rPr>
        <w:rFonts w:ascii="Trebuchet MS" w:hAnsi="Trebuchet MS" w:hint="default"/>
        <w:color w:val="708792" w:themeColor="background2"/>
        <w:u w:color="FFFFFF" w:themeColor="background1"/>
      </w:rPr>
    </w:lvl>
    <w:lvl w:ilvl="3" w:tplc="0C070001" w:tentative="1">
      <w:start w:val="1"/>
      <w:numFmt w:val="bullet"/>
      <w:lvlText w:val=""/>
      <w:lvlJc w:val="left"/>
      <w:pPr>
        <w:ind w:left="3513" w:hanging="360"/>
      </w:pPr>
      <w:rPr>
        <w:rFonts w:ascii="Symbol" w:hAnsi="Symbol" w:hint="default"/>
      </w:rPr>
    </w:lvl>
    <w:lvl w:ilvl="4" w:tplc="0C070003" w:tentative="1">
      <w:start w:val="1"/>
      <w:numFmt w:val="bullet"/>
      <w:lvlText w:val="o"/>
      <w:lvlJc w:val="left"/>
      <w:pPr>
        <w:ind w:left="4233" w:hanging="360"/>
      </w:pPr>
      <w:rPr>
        <w:rFonts w:ascii="Courier New" w:hAnsi="Courier New" w:cs="Courier New" w:hint="default"/>
      </w:rPr>
    </w:lvl>
    <w:lvl w:ilvl="5" w:tplc="0C070005" w:tentative="1">
      <w:start w:val="1"/>
      <w:numFmt w:val="bullet"/>
      <w:lvlText w:val=""/>
      <w:lvlJc w:val="left"/>
      <w:pPr>
        <w:ind w:left="4953" w:hanging="360"/>
      </w:pPr>
      <w:rPr>
        <w:rFonts w:ascii="Wingdings" w:hAnsi="Wingdings" w:hint="default"/>
      </w:rPr>
    </w:lvl>
    <w:lvl w:ilvl="6" w:tplc="0C070001" w:tentative="1">
      <w:start w:val="1"/>
      <w:numFmt w:val="bullet"/>
      <w:lvlText w:val=""/>
      <w:lvlJc w:val="left"/>
      <w:pPr>
        <w:ind w:left="5673" w:hanging="360"/>
      </w:pPr>
      <w:rPr>
        <w:rFonts w:ascii="Symbol" w:hAnsi="Symbol" w:hint="default"/>
      </w:rPr>
    </w:lvl>
    <w:lvl w:ilvl="7" w:tplc="0C070003" w:tentative="1">
      <w:start w:val="1"/>
      <w:numFmt w:val="bullet"/>
      <w:lvlText w:val="o"/>
      <w:lvlJc w:val="left"/>
      <w:pPr>
        <w:ind w:left="6393" w:hanging="360"/>
      </w:pPr>
      <w:rPr>
        <w:rFonts w:ascii="Courier New" w:hAnsi="Courier New" w:cs="Courier New" w:hint="default"/>
      </w:rPr>
    </w:lvl>
    <w:lvl w:ilvl="8" w:tplc="0C070005" w:tentative="1">
      <w:start w:val="1"/>
      <w:numFmt w:val="bullet"/>
      <w:lvlText w:val=""/>
      <w:lvlJc w:val="left"/>
      <w:pPr>
        <w:ind w:left="7113" w:hanging="360"/>
      </w:pPr>
      <w:rPr>
        <w:rFonts w:ascii="Wingdings" w:hAnsi="Wingdings" w:hint="default"/>
      </w:rPr>
    </w:lvl>
  </w:abstractNum>
  <w:abstractNum w:abstractNumId="44" w15:restartNumberingAfterBreak="0">
    <w:nsid w:val="3D496094"/>
    <w:multiLevelType w:val="multilevel"/>
    <w:tmpl w:val="0E6A6F1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5" w15:restartNumberingAfterBreak="0">
    <w:nsid w:val="3EA45C33"/>
    <w:multiLevelType w:val="multilevel"/>
    <w:tmpl w:val="BA304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7" w15:restartNumberingAfterBreak="0">
    <w:nsid w:val="411744FE"/>
    <w:multiLevelType w:val="multilevel"/>
    <w:tmpl w:val="0C78C84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1267F68"/>
    <w:multiLevelType w:val="hybridMultilevel"/>
    <w:tmpl w:val="FE48B7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447B5F2E"/>
    <w:multiLevelType w:val="multilevel"/>
    <w:tmpl w:val="6E6CB40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50" w15:restartNumberingAfterBreak="0">
    <w:nsid w:val="45045C3F"/>
    <w:multiLevelType w:val="multilevel"/>
    <w:tmpl w:val="4CC23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5EB149B"/>
    <w:multiLevelType w:val="multilevel"/>
    <w:tmpl w:val="6192A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671134E"/>
    <w:multiLevelType w:val="hybridMultilevel"/>
    <w:tmpl w:val="5DECBA00"/>
    <w:lvl w:ilvl="0" w:tplc="0407000F">
      <w:start w:val="1"/>
      <w:numFmt w:val="upperLetter"/>
      <w:pStyle w:val="Naslov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53" w15:restartNumberingAfterBreak="0">
    <w:nsid w:val="47154635"/>
    <w:multiLevelType w:val="multilevel"/>
    <w:tmpl w:val="0C07001D"/>
    <w:styleLink w:val="CE-List"/>
    <w:lvl w:ilvl="0">
      <w:start w:val="1"/>
      <w:numFmt w:val="bullet"/>
      <w:lvlText w:val=""/>
      <w:lvlJc w:val="left"/>
      <w:pPr>
        <w:ind w:left="360" w:hanging="360"/>
      </w:pPr>
      <w:rPr>
        <w:rFonts w:ascii="Wingdings 2" w:hAnsi="Wingdings 2" w:hint="default"/>
        <w:color w:val="708792"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4773494B"/>
    <w:multiLevelType w:val="multilevel"/>
    <w:tmpl w:val="F65A6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6" w15:restartNumberingAfterBreak="0">
    <w:nsid w:val="4A1E1EEA"/>
    <w:multiLevelType w:val="hybridMultilevel"/>
    <w:tmpl w:val="577E1834"/>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4A4E6187"/>
    <w:multiLevelType w:val="hybridMultilevel"/>
    <w:tmpl w:val="9F5C2FF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8" w15:restartNumberingAfterBreak="0">
    <w:nsid w:val="4C59246F"/>
    <w:multiLevelType w:val="hybridMultilevel"/>
    <w:tmpl w:val="D9B2FD1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9" w15:restartNumberingAfterBreak="0">
    <w:nsid w:val="4E902F94"/>
    <w:multiLevelType w:val="multilevel"/>
    <w:tmpl w:val="0EE49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F5C415F"/>
    <w:multiLevelType w:val="hybridMultilevel"/>
    <w:tmpl w:val="1C9A8D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4FD14ED4"/>
    <w:multiLevelType w:val="hybridMultilevel"/>
    <w:tmpl w:val="B6820DA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2" w15:restartNumberingAfterBreak="0">
    <w:nsid w:val="50616443"/>
    <w:multiLevelType w:val="multilevel"/>
    <w:tmpl w:val="3A589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3DF5C01"/>
    <w:multiLevelType w:val="hybridMultilevel"/>
    <w:tmpl w:val="201C156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53F10075"/>
    <w:multiLevelType w:val="multilevel"/>
    <w:tmpl w:val="5D96B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593220C"/>
    <w:multiLevelType w:val="multilevel"/>
    <w:tmpl w:val="B6C06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B5172F1"/>
    <w:multiLevelType w:val="multilevel"/>
    <w:tmpl w:val="C1545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C3D4F78"/>
    <w:multiLevelType w:val="multilevel"/>
    <w:tmpl w:val="DA627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D2E77BD"/>
    <w:multiLevelType w:val="multilevel"/>
    <w:tmpl w:val="A63CB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D2F2562"/>
    <w:multiLevelType w:val="multilevel"/>
    <w:tmpl w:val="A79EF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E011593"/>
    <w:multiLevelType w:val="hybridMultilevel"/>
    <w:tmpl w:val="BB68FE8A"/>
    <w:lvl w:ilvl="0" w:tplc="FE5466D8">
      <w:start w:val="1"/>
      <w:numFmt w:val="bullet"/>
      <w:pStyle w:val="CE-BulletPoint2"/>
      <w:lvlText w:val=""/>
      <w:lvlJc w:val="left"/>
      <w:pPr>
        <w:ind w:left="1004" w:hanging="360"/>
      </w:pPr>
      <w:rPr>
        <w:rFonts w:ascii="Wingdings" w:hAnsi="Wingdings" w:hint="default"/>
        <w:color w:val="708792" w:themeColor="background2"/>
        <w:sz w:val="24"/>
      </w:rPr>
    </w:lvl>
    <w:lvl w:ilvl="1" w:tplc="628AA5C4">
      <w:start w:val="1"/>
      <w:numFmt w:val="bullet"/>
      <w:lvlText w:val="&gt;"/>
      <w:lvlJc w:val="left"/>
      <w:pPr>
        <w:ind w:left="1724" w:hanging="360"/>
      </w:pPr>
      <w:rPr>
        <w:rFonts w:ascii="Trebuchet MS" w:hAnsi="Trebuchet MS" w:hint="default"/>
        <w:color w:val="708792" w:themeColor="background2"/>
        <w:u w:color="FFFFFF" w:themeColor="background1"/>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71" w15:restartNumberingAfterBreak="0">
    <w:nsid w:val="5E6B0B67"/>
    <w:multiLevelType w:val="hybridMultilevel"/>
    <w:tmpl w:val="4578845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2" w15:restartNumberingAfterBreak="0">
    <w:nsid w:val="5E6E5A91"/>
    <w:multiLevelType w:val="multilevel"/>
    <w:tmpl w:val="83F02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13C138A"/>
    <w:multiLevelType w:val="multilevel"/>
    <w:tmpl w:val="8954E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3964662"/>
    <w:multiLevelType w:val="multilevel"/>
    <w:tmpl w:val="A32EA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76" w15:restartNumberingAfterBreak="0">
    <w:nsid w:val="677D00E0"/>
    <w:multiLevelType w:val="hybridMultilevel"/>
    <w:tmpl w:val="83C0ED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691F15EA"/>
    <w:multiLevelType w:val="multilevel"/>
    <w:tmpl w:val="E1143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90ABB1" w:themeColor="accent1"/>
        <w:sz w:val="18"/>
      </w:rPr>
    </w:lvl>
    <w:lvl w:ilvl="1">
      <w:start w:val="1"/>
      <w:numFmt w:val="bullet"/>
      <w:lvlText w:val=""/>
      <w:lvlJc w:val="left"/>
      <w:pPr>
        <w:ind w:left="568" w:hanging="284"/>
      </w:pPr>
      <w:rPr>
        <w:rFonts w:ascii="Wingdings" w:hAnsi="Wingdings"/>
        <w:color w:val="90ABB1" w:themeColor="accent1"/>
        <w:sz w:val="24"/>
      </w:rPr>
    </w:lvl>
    <w:lvl w:ilvl="2">
      <w:start w:val="1"/>
      <w:numFmt w:val="bullet"/>
      <w:lvlText w:val="&gt;"/>
      <w:lvlJc w:val="left"/>
      <w:pPr>
        <w:ind w:left="852" w:hanging="284"/>
      </w:pPr>
      <w:rPr>
        <w:rFonts w:ascii="Trebuchet MS" w:hAnsi="Trebuchet MS" w:hint="default"/>
        <w:color w:val="90ABB1" w:themeColor="accent1"/>
      </w:rPr>
    </w:lvl>
    <w:lvl w:ilvl="3">
      <w:start w:val="1"/>
      <w:numFmt w:val="bullet"/>
      <w:lvlText w:val="&gt;"/>
      <w:lvlJc w:val="left"/>
      <w:pPr>
        <w:ind w:left="1136" w:hanging="284"/>
      </w:pPr>
      <w:rPr>
        <w:rFonts w:ascii="Trebuchet MS" w:hAnsi="Trebuchet MS" w:hint="default"/>
        <w:color w:val="90ABB1" w:themeColor="accent1"/>
      </w:rPr>
    </w:lvl>
    <w:lvl w:ilvl="4">
      <w:start w:val="1"/>
      <w:numFmt w:val="bullet"/>
      <w:lvlText w:val="&gt;"/>
      <w:lvlJc w:val="left"/>
      <w:pPr>
        <w:ind w:left="1420" w:hanging="284"/>
      </w:pPr>
      <w:rPr>
        <w:rFonts w:ascii="Trebuchet MS" w:hAnsi="Trebuchet MS" w:cs="Courier New" w:hint="default"/>
        <w:color w:val="90ABB1" w:themeColor="accent1"/>
      </w:rPr>
    </w:lvl>
    <w:lvl w:ilvl="5">
      <w:start w:val="1"/>
      <w:numFmt w:val="bullet"/>
      <w:lvlText w:val="&gt;"/>
      <w:lvlJc w:val="left"/>
      <w:pPr>
        <w:ind w:left="1704" w:hanging="284"/>
      </w:pPr>
      <w:rPr>
        <w:rFonts w:ascii="Trebuchet MS" w:hAnsi="Trebuchet MS" w:hint="default"/>
        <w:color w:val="90ABB1" w:themeColor="accent1"/>
      </w:rPr>
    </w:lvl>
    <w:lvl w:ilvl="6">
      <w:start w:val="1"/>
      <w:numFmt w:val="bullet"/>
      <w:lvlText w:val="&gt;"/>
      <w:lvlJc w:val="left"/>
      <w:pPr>
        <w:ind w:left="1988" w:hanging="284"/>
      </w:pPr>
      <w:rPr>
        <w:rFonts w:ascii="Trebuchet MS" w:hAnsi="Trebuchet MS" w:hint="default"/>
        <w:color w:val="90ABB1" w:themeColor="accent1"/>
      </w:rPr>
    </w:lvl>
    <w:lvl w:ilvl="7">
      <w:start w:val="1"/>
      <w:numFmt w:val="bullet"/>
      <w:lvlText w:val="&gt;"/>
      <w:lvlJc w:val="left"/>
      <w:pPr>
        <w:ind w:left="2272" w:hanging="284"/>
      </w:pPr>
      <w:rPr>
        <w:rFonts w:ascii="Trebuchet MS" w:hAnsi="Trebuchet MS" w:cs="Courier New" w:hint="default"/>
        <w:color w:val="90ABB1" w:themeColor="accent1"/>
      </w:rPr>
    </w:lvl>
    <w:lvl w:ilvl="8">
      <w:start w:val="1"/>
      <w:numFmt w:val="bullet"/>
      <w:lvlText w:val="&gt;"/>
      <w:lvlJc w:val="left"/>
      <w:pPr>
        <w:ind w:left="2556" w:hanging="284"/>
      </w:pPr>
      <w:rPr>
        <w:rFonts w:ascii="Trebuchet MS" w:hAnsi="Trebuchet MS" w:hint="default"/>
        <w:color w:val="90ABB1" w:themeColor="accent1"/>
      </w:rPr>
    </w:lvl>
  </w:abstractNum>
  <w:abstractNum w:abstractNumId="79" w15:restartNumberingAfterBreak="0">
    <w:nsid w:val="6C04180B"/>
    <w:multiLevelType w:val="multilevel"/>
    <w:tmpl w:val="3600EB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C2A51A4"/>
    <w:multiLevelType w:val="multilevel"/>
    <w:tmpl w:val="851E3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D855523"/>
    <w:multiLevelType w:val="hybridMultilevel"/>
    <w:tmpl w:val="B7582D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6F0018BA"/>
    <w:multiLevelType w:val="multilevel"/>
    <w:tmpl w:val="B61490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84" w15:restartNumberingAfterBreak="0">
    <w:nsid w:val="74CA2EBC"/>
    <w:multiLevelType w:val="hybridMultilevel"/>
    <w:tmpl w:val="5B321AA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5" w15:restartNumberingAfterBreak="0">
    <w:nsid w:val="75923BF9"/>
    <w:multiLevelType w:val="multilevel"/>
    <w:tmpl w:val="F0929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5CA172C"/>
    <w:multiLevelType w:val="multilevel"/>
    <w:tmpl w:val="4BD245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90ABB1"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8" w15:restartNumberingAfterBreak="0">
    <w:nsid w:val="78495E00"/>
    <w:multiLevelType w:val="multilevel"/>
    <w:tmpl w:val="E826AC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9B85DC1"/>
    <w:multiLevelType w:val="hybridMultilevel"/>
    <w:tmpl w:val="73D2D046"/>
    <w:lvl w:ilvl="0" w:tplc="11961190">
      <w:start w:val="1"/>
      <w:numFmt w:val="bullet"/>
      <w:pStyle w:val="Grafikeoznake"/>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90" w15:restartNumberingAfterBreak="0">
    <w:nsid w:val="79C83C35"/>
    <w:multiLevelType w:val="multilevel"/>
    <w:tmpl w:val="F15CE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C6C1151"/>
    <w:multiLevelType w:val="hybridMultilevel"/>
    <w:tmpl w:val="F4A2A3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90ABB1" w:themeColor="accent1"/>
        <w:sz w:val="18"/>
      </w:rPr>
    </w:lvl>
    <w:lvl w:ilvl="1">
      <w:start w:val="1"/>
      <w:numFmt w:val="bullet"/>
      <w:lvlText w:val=""/>
      <w:lvlJc w:val="left"/>
      <w:pPr>
        <w:ind w:left="568" w:hanging="284"/>
      </w:pPr>
      <w:rPr>
        <w:rFonts w:ascii="Wingdings" w:hAnsi="Wingdings"/>
        <w:color w:val="90ABB1" w:themeColor="accent1"/>
        <w:sz w:val="24"/>
      </w:rPr>
    </w:lvl>
    <w:lvl w:ilvl="2">
      <w:start w:val="1"/>
      <w:numFmt w:val="bullet"/>
      <w:lvlText w:val=""/>
      <w:lvlJc w:val="left"/>
      <w:pPr>
        <w:ind w:left="852" w:hanging="284"/>
      </w:pPr>
      <w:rPr>
        <w:rFonts w:ascii="Symbol" w:hAnsi="Symbol" w:hint="default"/>
        <w:b w:val="0"/>
        <w:i w:val="0"/>
        <w:color w:val="90ABB1" w:themeColor="accent1"/>
        <w:sz w:val="18"/>
      </w:rPr>
    </w:lvl>
    <w:lvl w:ilvl="3">
      <w:start w:val="1"/>
      <w:numFmt w:val="bullet"/>
      <w:lvlText w:val=""/>
      <w:lvlJc w:val="left"/>
      <w:pPr>
        <w:ind w:left="1136" w:hanging="284"/>
      </w:pPr>
      <w:rPr>
        <w:rFonts w:ascii="Symbol" w:hAnsi="Symbol" w:hint="default"/>
        <w:b w:val="0"/>
        <w:i w:val="0"/>
        <w:color w:val="90ABB1" w:themeColor="accent1"/>
        <w:sz w:val="18"/>
      </w:rPr>
    </w:lvl>
    <w:lvl w:ilvl="4">
      <w:start w:val="1"/>
      <w:numFmt w:val="bullet"/>
      <w:lvlText w:val=""/>
      <w:lvlJc w:val="left"/>
      <w:pPr>
        <w:ind w:left="1420" w:hanging="284"/>
      </w:pPr>
      <w:rPr>
        <w:rFonts w:ascii="Symbol" w:hAnsi="Symbol" w:hint="default"/>
        <w:color w:val="90ABB1" w:themeColor="accent1"/>
      </w:rPr>
    </w:lvl>
    <w:lvl w:ilvl="5">
      <w:start w:val="1"/>
      <w:numFmt w:val="bullet"/>
      <w:lvlText w:val=""/>
      <w:lvlJc w:val="left"/>
      <w:pPr>
        <w:ind w:left="1704" w:hanging="284"/>
      </w:pPr>
      <w:rPr>
        <w:rFonts w:ascii="Symbol" w:hAnsi="Symbol" w:hint="default"/>
        <w:color w:val="90ABB1" w:themeColor="accent1"/>
      </w:rPr>
    </w:lvl>
    <w:lvl w:ilvl="6">
      <w:start w:val="1"/>
      <w:numFmt w:val="bullet"/>
      <w:lvlText w:val=""/>
      <w:lvlJc w:val="left"/>
      <w:pPr>
        <w:ind w:left="1988" w:hanging="284"/>
      </w:pPr>
      <w:rPr>
        <w:rFonts w:ascii="Symbol" w:hAnsi="Symbol" w:hint="default"/>
        <w:color w:val="90ABB1" w:themeColor="accent1"/>
      </w:rPr>
    </w:lvl>
    <w:lvl w:ilvl="7">
      <w:start w:val="1"/>
      <w:numFmt w:val="bullet"/>
      <w:lvlText w:val=""/>
      <w:lvlJc w:val="left"/>
      <w:pPr>
        <w:ind w:left="2272" w:hanging="284"/>
      </w:pPr>
      <w:rPr>
        <w:rFonts w:ascii="Symbol" w:hAnsi="Symbol" w:hint="default"/>
        <w:color w:val="90ABB1" w:themeColor="accent1"/>
      </w:rPr>
    </w:lvl>
    <w:lvl w:ilvl="8">
      <w:start w:val="1"/>
      <w:numFmt w:val="bullet"/>
      <w:lvlText w:val=""/>
      <w:lvlJc w:val="left"/>
      <w:pPr>
        <w:ind w:left="2556" w:hanging="284"/>
      </w:pPr>
      <w:rPr>
        <w:rFonts w:ascii="Symbol" w:hAnsi="Symbol"/>
        <w:color w:val="90ABB1" w:themeColor="accent1"/>
      </w:rPr>
    </w:lvl>
  </w:abstractNum>
  <w:num w:numId="1">
    <w:abstractNumId w:val="83"/>
  </w:num>
  <w:num w:numId="2">
    <w:abstractNumId w:val="4"/>
  </w:num>
  <w:num w:numId="3">
    <w:abstractNumId w:val="89"/>
  </w:num>
  <w:num w:numId="4">
    <w:abstractNumId w:val="75"/>
  </w:num>
  <w:num w:numId="5">
    <w:abstractNumId w:val="37"/>
  </w:num>
  <w:num w:numId="6">
    <w:abstractNumId w:val="46"/>
  </w:num>
  <w:num w:numId="7">
    <w:abstractNumId w:val="55"/>
  </w:num>
  <w:num w:numId="8">
    <w:abstractNumId w:val="10"/>
  </w:num>
  <w:num w:numId="9">
    <w:abstractNumId w:val="52"/>
  </w:num>
  <w:num w:numId="10">
    <w:abstractNumId w:val="27"/>
  </w:num>
  <w:num w:numId="11">
    <w:abstractNumId w:val="2"/>
  </w:num>
  <w:num w:numId="12">
    <w:abstractNumId w:val="41"/>
  </w:num>
  <w:num w:numId="13">
    <w:abstractNumId w:val="26"/>
  </w:num>
  <w:num w:numId="14">
    <w:abstractNumId w:val="34"/>
  </w:num>
  <w:num w:numId="15">
    <w:abstractNumId w:val="87"/>
  </w:num>
  <w:num w:numId="16">
    <w:abstractNumId w:val="11"/>
  </w:num>
  <w:num w:numId="17">
    <w:abstractNumId w:val="53"/>
  </w:num>
  <w:num w:numId="18">
    <w:abstractNumId w:val="92"/>
  </w:num>
  <w:num w:numId="19">
    <w:abstractNumId w:val="78"/>
  </w:num>
  <w:num w:numId="20">
    <w:abstractNumId w:val="38"/>
  </w:num>
  <w:num w:numId="21">
    <w:abstractNumId w:val="19"/>
  </w:num>
  <w:num w:numId="22">
    <w:abstractNumId w:val="22"/>
    <w:lvlOverride w:ilvl="0">
      <w:lvl w:ilvl="0">
        <w:start w:val="1"/>
        <w:numFmt w:val="decimal"/>
        <w:pStyle w:val="CE-Headline1"/>
        <w:suff w:val="space"/>
        <w:lvlText w:val="%1."/>
        <w:lvlJc w:val="left"/>
        <w:pPr>
          <w:ind w:left="2835" w:firstLine="0"/>
        </w:pPr>
        <w:rPr>
          <w:rFonts w:hint="default"/>
        </w:rPr>
      </w:lvl>
    </w:lvlOverride>
    <w:lvlOverride w:ilvl="1">
      <w:lvl w:ilvl="1">
        <w:start w:val="1"/>
        <w:numFmt w:val="decimal"/>
        <w:pStyle w:val="CE-Headline2"/>
        <w:suff w:val="space"/>
        <w:lvlText w:val="%1.%2."/>
        <w:lvlJc w:val="left"/>
        <w:pPr>
          <w:ind w:left="0" w:firstLine="0"/>
        </w:pPr>
        <w:rPr>
          <w:rFonts w:hint="default"/>
        </w:rPr>
      </w:lvl>
    </w:lvlOverride>
    <w:lvlOverride w:ilvl="2">
      <w:lvl w:ilvl="2">
        <w:start w:val="1"/>
        <w:numFmt w:val="decimal"/>
        <w:pStyle w:val="CE-Headline3"/>
        <w:suff w:val="space"/>
        <w:lvlText w:val="%1.%2.%3."/>
        <w:lvlJc w:val="left"/>
        <w:pPr>
          <w:ind w:left="0" w:firstLine="0"/>
        </w:pPr>
        <w:rPr>
          <w:rFonts w:hint="default"/>
        </w:rPr>
      </w:lvl>
    </w:lvlOverride>
    <w:lvlOverride w:ilvl="3">
      <w:lvl w:ilvl="3">
        <w:start w:val="1"/>
        <w:numFmt w:val="decimal"/>
        <w:pStyle w:val="CE-Headline4"/>
        <w:suff w:val="space"/>
        <w:lvlText w:val="%1.%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23">
    <w:abstractNumId w:val="32"/>
  </w:num>
  <w:num w:numId="24">
    <w:abstractNumId w:val="43"/>
  </w:num>
  <w:num w:numId="25">
    <w:abstractNumId w:val="70"/>
  </w:num>
  <w:num w:numId="26">
    <w:abstractNumId w:val="9"/>
  </w:num>
  <w:num w:numId="27">
    <w:abstractNumId w:val="45"/>
  </w:num>
  <w:num w:numId="28">
    <w:abstractNumId w:val="39"/>
  </w:num>
  <w:num w:numId="29">
    <w:abstractNumId w:val="36"/>
  </w:num>
  <w:num w:numId="30">
    <w:abstractNumId w:val="69"/>
  </w:num>
  <w:num w:numId="31">
    <w:abstractNumId w:val="5"/>
  </w:num>
  <w:num w:numId="32">
    <w:abstractNumId w:val="12"/>
  </w:num>
  <w:num w:numId="33">
    <w:abstractNumId w:val="47"/>
  </w:num>
  <w:num w:numId="34">
    <w:abstractNumId w:val="42"/>
  </w:num>
  <w:num w:numId="35">
    <w:abstractNumId w:val="84"/>
  </w:num>
  <w:num w:numId="36">
    <w:abstractNumId w:val="17"/>
  </w:num>
  <w:num w:numId="37">
    <w:abstractNumId w:val="0"/>
  </w:num>
  <w:num w:numId="38">
    <w:abstractNumId w:val="25"/>
  </w:num>
  <w:num w:numId="39">
    <w:abstractNumId w:val="14"/>
  </w:num>
  <w:num w:numId="40">
    <w:abstractNumId w:val="58"/>
  </w:num>
  <w:num w:numId="41">
    <w:abstractNumId w:val="49"/>
  </w:num>
  <w:num w:numId="42">
    <w:abstractNumId w:val="44"/>
  </w:num>
  <w:num w:numId="43">
    <w:abstractNumId w:val="48"/>
  </w:num>
  <w:num w:numId="44">
    <w:abstractNumId w:val="90"/>
  </w:num>
  <w:num w:numId="45">
    <w:abstractNumId w:val="24"/>
  </w:num>
  <w:num w:numId="46">
    <w:abstractNumId w:val="88"/>
  </w:num>
  <w:num w:numId="47">
    <w:abstractNumId w:val="50"/>
  </w:num>
  <w:num w:numId="48">
    <w:abstractNumId w:val="57"/>
  </w:num>
  <w:num w:numId="49">
    <w:abstractNumId w:val="8"/>
  </w:num>
  <w:num w:numId="50">
    <w:abstractNumId w:val="67"/>
  </w:num>
  <w:num w:numId="51">
    <w:abstractNumId w:val="3"/>
  </w:num>
  <w:num w:numId="52">
    <w:abstractNumId w:val="16"/>
  </w:num>
  <w:num w:numId="53">
    <w:abstractNumId w:val="65"/>
  </w:num>
  <w:num w:numId="54">
    <w:abstractNumId w:val="66"/>
  </w:num>
  <w:num w:numId="55">
    <w:abstractNumId w:val="74"/>
  </w:num>
  <w:num w:numId="56">
    <w:abstractNumId w:val="85"/>
  </w:num>
  <w:num w:numId="57">
    <w:abstractNumId w:val="30"/>
  </w:num>
  <w:num w:numId="58">
    <w:abstractNumId w:val="33"/>
  </w:num>
  <w:num w:numId="59">
    <w:abstractNumId w:val="68"/>
  </w:num>
  <w:num w:numId="60">
    <w:abstractNumId w:val="64"/>
  </w:num>
  <w:num w:numId="61">
    <w:abstractNumId w:val="7"/>
  </w:num>
  <w:num w:numId="62">
    <w:abstractNumId w:val="20"/>
  </w:num>
  <w:num w:numId="63">
    <w:abstractNumId w:val="31"/>
  </w:num>
  <w:num w:numId="64">
    <w:abstractNumId w:val="77"/>
  </w:num>
  <w:num w:numId="65">
    <w:abstractNumId w:val="62"/>
  </w:num>
  <w:num w:numId="66">
    <w:abstractNumId w:val="80"/>
  </w:num>
  <w:num w:numId="67">
    <w:abstractNumId w:val="59"/>
  </w:num>
  <w:num w:numId="68">
    <w:abstractNumId w:val="1"/>
  </w:num>
  <w:num w:numId="69">
    <w:abstractNumId w:val="51"/>
  </w:num>
  <w:num w:numId="70">
    <w:abstractNumId w:val="79"/>
  </w:num>
  <w:num w:numId="71">
    <w:abstractNumId w:val="23"/>
  </w:num>
  <w:num w:numId="72">
    <w:abstractNumId w:val="18"/>
  </w:num>
  <w:num w:numId="73">
    <w:abstractNumId w:val="86"/>
  </w:num>
  <w:num w:numId="74">
    <w:abstractNumId w:val="35"/>
  </w:num>
  <w:num w:numId="75">
    <w:abstractNumId w:val="82"/>
  </w:num>
  <w:num w:numId="76">
    <w:abstractNumId w:val="72"/>
  </w:num>
  <w:num w:numId="77">
    <w:abstractNumId w:val="21"/>
  </w:num>
  <w:num w:numId="78">
    <w:abstractNumId w:val="29"/>
  </w:num>
  <w:num w:numId="79">
    <w:abstractNumId w:val="6"/>
  </w:num>
  <w:num w:numId="80">
    <w:abstractNumId w:val="91"/>
  </w:num>
  <w:num w:numId="81">
    <w:abstractNumId w:val="56"/>
  </w:num>
  <w:num w:numId="82">
    <w:abstractNumId w:val="28"/>
  </w:num>
  <w:num w:numId="83">
    <w:abstractNumId w:val="40"/>
  </w:num>
  <w:num w:numId="84">
    <w:abstractNumId w:val="71"/>
  </w:num>
  <w:num w:numId="85">
    <w:abstractNumId w:val="13"/>
  </w:num>
  <w:num w:numId="86">
    <w:abstractNumId w:val="54"/>
  </w:num>
  <w:num w:numId="87">
    <w:abstractNumId w:val="73"/>
  </w:num>
  <w:num w:numId="88">
    <w:abstractNumId w:val="22"/>
    <w:lvlOverride w:ilvl="0">
      <w:startOverride w:val="1"/>
      <w:lvl w:ilvl="0">
        <w:start w:val="1"/>
        <w:numFmt w:val="decimal"/>
        <w:pStyle w:val="CE-Headline1"/>
        <w:suff w:val="space"/>
        <w:lvlText w:val="%1."/>
        <w:lvlJc w:val="left"/>
        <w:pPr>
          <w:ind w:left="2835" w:firstLine="0"/>
        </w:pPr>
        <w:rPr>
          <w:rFonts w:hint="default"/>
        </w:rPr>
      </w:lvl>
    </w:lvlOverride>
    <w:lvlOverride w:ilvl="1">
      <w:startOverride w:val="1"/>
      <w:lvl w:ilvl="1">
        <w:start w:val="1"/>
        <w:numFmt w:val="decimal"/>
        <w:pStyle w:val="CE-Headline2"/>
        <w:suff w:val="space"/>
        <w:lvlText w:val="%1.%2."/>
        <w:lvlJc w:val="left"/>
        <w:pPr>
          <w:ind w:left="0" w:firstLine="0"/>
        </w:pPr>
        <w:rPr>
          <w:rFonts w:hint="default"/>
        </w:rPr>
      </w:lvl>
    </w:lvlOverride>
    <w:lvlOverride w:ilvl="2">
      <w:startOverride w:val="1"/>
      <w:lvl w:ilvl="2">
        <w:start w:val="1"/>
        <w:numFmt w:val="decimal"/>
        <w:pStyle w:val="CE-Headline3"/>
        <w:suff w:val="space"/>
        <w:lvlText w:val="%1.%2.%3."/>
        <w:lvlJc w:val="left"/>
        <w:pPr>
          <w:ind w:left="0" w:firstLine="0"/>
        </w:pPr>
        <w:rPr>
          <w:rFonts w:hint="default"/>
        </w:rPr>
      </w:lvl>
    </w:lvlOverride>
    <w:lvlOverride w:ilvl="3">
      <w:startOverride w:val="1"/>
      <w:lvl w:ilvl="3">
        <w:start w:val="1"/>
        <w:numFmt w:val="decimal"/>
        <w:pStyle w:val="CE-Headline4"/>
        <w:suff w:val="space"/>
        <w:lvlText w:val="%1.%2.%3.%4."/>
        <w:lvlJc w:val="left"/>
        <w:pPr>
          <w:ind w:left="0" w:firstLine="0"/>
        </w:pPr>
        <w:rPr>
          <w:rFonts w:hint="default"/>
        </w:rPr>
      </w:lvl>
    </w:lvlOverride>
    <w:lvlOverride w:ilvl="4">
      <w:startOverride w:val="1"/>
      <w:lvl w:ilvl="4">
        <w:start w:val="1"/>
        <w:numFmt w:val="decimal"/>
        <w:suff w:val="space"/>
        <w:lvlText w:val="%1.%2.%3.%4.%5."/>
        <w:lvlJc w:val="left"/>
        <w:pPr>
          <w:ind w:left="0" w:firstLine="0"/>
        </w:pPr>
        <w:rPr>
          <w:rFonts w:hint="default"/>
        </w:rPr>
      </w:lvl>
    </w:lvlOverride>
    <w:lvlOverride w:ilvl="5">
      <w:startOverride w:val="1"/>
      <w:lvl w:ilvl="5">
        <w:start w:val="1"/>
        <w:numFmt w:val="decimal"/>
        <w:suff w:val="space"/>
        <w:lvlText w:val="%1.%2.%3.%4.%5.%6."/>
        <w:lvlJc w:val="left"/>
        <w:pPr>
          <w:ind w:left="0" w:firstLine="0"/>
        </w:pPr>
        <w:rPr>
          <w:rFonts w:hint="default"/>
        </w:rPr>
      </w:lvl>
    </w:lvlOverride>
    <w:lvlOverride w:ilvl="6">
      <w:startOverride w:val="1"/>
      <w:lvl w:ilvl="6">
        <w:start w:val="1"/>
        <w:numFmt w:val="decimal"/>
        <w:suff w:val="space"/>
        <w:lvlText w:val="%1.%2.%3.%4.%6.%7."/>
        <w:lvlJc w:val="left"/>
        <w:pPr>
          <w:ind w:left="0" w:firstLine="0"/>
        </w:pPr>
        <w:rPr>
          <w:rFonts w:hint="default"/>
        </w:rPr>
      </w:lvl>
    </w:lvlOverride>
    <w:lvlOverride w:ilvl="7">
      <w:startOverride w:val="1"/>
      <w:lvl w:ilvl="7">
        <w:start w:val="1"/>
        <w:numFmt w:val="decimal"/>
        <w:suff w:val="space"/>
        <w:lvlText w:val="%1.%2.%3.%4.%5.%6.%7.%8."/>
        <w:lvlJc w:val="left"/>
        <w:pPr>
          <w:ind w:left="0" w:firstLine="0"/>
        </w:pPr>
        <w:rPr>
          <w:rFonts w:hint="default"/>
        </w:rPr>
      </w:lvl>
    </w:lvlOverride>
    <w:lvlOverride w:ilvl="8">
      <w:startOverride w:val="1"/>
      <w:lvl w:ilvl="8">
        <w:start w:val="1"/>
        <w:numFmt w:val="decimal"/>
        <w:suff w:val="space"/>
        <w:lvlText w:val="%1.%2.%3.%4.%5.%6.%7.%8.%9."/>
        <w:lvlJc w:val="left"/>
        <w:pPr>
          <w:ind w:left="0" w:firstLine="0"/>
        </w:pPr>
        <w:rPr>
          <w:rFonts w:hint="default"/>
        </w:rPr>
      </w:lvl>
    </w:lvlOverride>
  </w:num>
  <w:num w:numId="89">
    <w:abstractNumId w:val="61"/>
  </w:num>
  <w:num w:numId="90">
    <w:abstractNumId w:val="76"/>
  </w:num>
  <w:num w:numId="91">
    <w:abstractNumId w:val="81"/>
  </w:num>
  <w:num w:numId="92">
    <w:abstractNumId w:val="15"/>
  </w:num>
  <w:num w:numId="93">
    <w:abstractNumId w:val="60"/>
  </w:num>
  <w:num w:numId="94">
    <w:abstractNumId w:val="63"/>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738"/>
    <w:rsid w:val="000006C3"/>
    <w:rsid w:val="00000910"/>
    <w:rsid w:val="000015B2"/>
    <w:rsid w:val="0000185C"/>
    <w:rsid w:val="0000220A"/>
    <w:rsid w:val="0000226F"/>
    <w:rsid w:val="0000233B"/>
    <w:rsid w:val="00002B49"/>
    <w:rsid w:val="0000390E"/>
    <w:rsid w:val="00003AF4"/>
    <w:rsid w:val="00004AF7"/>
    <w:rsid w:val="00004D27"/>
    <w:rsid w:val="0000512C"/>
    <w:rsid w:val="00005755"/>
    <w:rsid w:val="000067AB"/>
    <w:rsid w:val="000068EE"/>
    <w:rsid w:val="00006FB6"/>
    <w:rsid w:val="00007DBB"/>
    <w:rsid w:val="00010938"/>
    <w:rsid w:val="00010DE5"/>
    <w:rsid w:val="00010E49"/>
    <w:rsid w:val="00010F10"/>
    <w:rsid w:val="0001340E"/>
    <w:rsid w:val="00013D79"/>
    <w:rsid w:val="0001465C"/>
    <w:rsid w:val="00015CA8"/>
    <w:rsid w:val="00015E9A"/>
    <w:rsid w:val="00016469"/>
    <w:rsid w:val="00017C5F"/>
    <w:rsid w:val="00017F07"/>
    <w:rsid w:val="00017F0B"/>
    <w:rsid w:val="00020014"/>
    <w:rsid w:val="000200B2"/>
    <w:rsid w:val="000211FC"/>
    <w:rsid w:val="00021F63"/>
    <w:rsid w:val="00021FAC"/>
    <w:rsid w:val="000229C7"/>
    <w:rsid w:val="00023360"/>
    <w:rsid w:val="00023C35"/>
    <w:rsid w:val="000242B6"/>
    <w:rsid w:val="000248D6"/>
    <w:rsid w:val="00024D05"/>
    <w:rsid w:val="00026FB3"/>
    <w:rsid w:val="000300CE"/>
    <w:rsid w:val="000306E3"/>
    <w:rsid w:val="00030BF5"/>
    <w:rsid w:val="00030D29"/>
    <w:rsid w:val="00030F29"/>
    <w:rsid w:val="0003194E"/>
    <w:rsid w:val="00032B6B"/>
    <w:rsid w:val="000332B8"/>
    <w:rsid w:val="0003371A"/>
    <w:rsid w:val="00033869"/>
    <w:rsid w:val="00035319"/>
    <w:rsid w:val="0003535E"/>
    <w:rsid w:val="00035418"/>
    <w:rsid w:val="00036E4E"/>
    <w:rsid w:val="00037109"/>
    <w:rsid w:val="0004039C"/>
    <w:rsid w:val="000404BF"/>
    <w:rsid w:val="0004083A"/>
    <w:rsid w:val="00040CCE"/>
    <w:rsid w:val="00040DFB"/>
    <w:rsid w:val="00040FDD"/>
    <w:rsid w:val="000412EF"/>
    <w:rsid w:val="00041CD9"/>
    <w:rsid w:val="0004223D"/>
    <w:rsid w:val="000425F4"/>
    <w:rsid w:val="0004260F"/>
    <w:rsid w:val="00042A9F"/>
    <w:rsid w:val="000437C2"/>
    <w:rsid w:val="000449FF"/>
    <w:rsid w:val="00044A7F"/>
    <w:rsid w:val="000459B4"/>
    <w:rsid w:val="000465E1"/>
    <w:rsid w:val="00046E89"/>
    <w:rsid w:val="00046FED"/>
    <w:rsid w:val="0004730D"/>
    <w:rsid w:val="000474C2"/>
    <w:rsid w:val="00047BB8"/>
    <w:rsid w:val="0005065E"/>
    <w:rsid w:val="00050E62"/>
    <w:rsid w:val="000511C2"/>
    <w:rsid w:val="00051533"/>
    <w:rsid w:val="00051D5A"/>
    <w:rsid w:val="0005245F"/>
    <w:rsid w:val="00052487"/>
    <w:rsid w:val="000526B3"/>
    <w:rsid w:val="00053D6C"/>
    <w:rsid w:val="00053DAC"/>
    <w:rsid w:val="000549A8"/>
    <w:rsid w:val="00055229"/>
    <w:rsid w:val="00055BB5"/>
    <w:rsid w:val="0005651B"/>
    <w:rsid w:val="00056BAE"/>
    <w:rsid w:val="00056D27"/>
    <w:rsid w:val="0005729C"/>
    <w:rsid w:val="00060902"/>
    <w:rsid w:val="00060FA6"/>
    <w:rsid w:val="00062D2C"/>
    <w:rsid w:val="00062EBF"/>
    <w:rsid w:val="00063313"/>
    <w:rsid w:val="00063D14"/>
    <w:rsid w:val="00064141"/>
    <w:rsid w:val="00064A8C"/>
    <w:rsid w:val="00064D2A"/>
    <w:rsid w:val="000651A7"/>
    <w:rsid w:val="0006634E"/>
    <w:rsid w:val="00066780"/>
    <w:rsid w:val="00066B79"/>
    <w:rsid w:val="0007043D"/>
    <w:rsid w:val="000715FC"/>
    <w:rsid w:val="0007294D"/>
    <w:rsid w:val="00072E13"/>
    <w:rsid w:val="00073061"/>
    <w:rsid w:val="00073140"/>
    <w:rsid w:val="00073630"/>
    <w:rsid w:val="0007499B"/>
    <w:rsid w:val="00075038"/>
    <w:rsid w:val="0007513D"/>
    <w:rsid w:val="000751D0"/>
    <w:rsid w:val="00076DD1"/>
    <w:rsid w:val="000777CE"/>
    <w:rsid w:val="00077F89"/>
    <w:rsid w:val="00077F8B"/>
    <w:rsid w:val="000806EF"/>
    <w:rsid w:val="00080C76"/>
    <w:rsid w:val="000811BC"/>
    <w:rsid w:val="000819DD"/>
    <w:rsid w:val="00081B27"/>
    <w:rsid w:val="000829E4"/>
    <w:rsid w:val="00082A32"/>
    <w:rsid w:val="00084A52"/>
    <w:rsid w:val="00084E48"/>
    <w:rsid w:val="000850EE"/>
    <w:rsid w:val="00085941"/>
    <w:rsid w:val="00085E04"/>
    <w:rsid w:val="00086306"/>
    <w:rsid w:val="000865F7"/>
    <w:rsid w:val="000869AF"/>
    <w:rsid w:val="00086BD2"/>
    <w:rsid w:val="000875AD"/>
    <w:rsid w:val="0008790F"/>
    <w:rsid w:val="00087967"/>
    <w:rsid w:val="000902F1"/>
    <w:rsid w:val="000905C2"/>
    <w:rsid w:val="000910D5"/>
    <w:rsid w:val="00091C86"/>
    <w:rsid w:val="0009253C"/>
    <w:rsid w:val="0009274C"/>
    <w:rsid w:val="00092B05"/>
    <w:rsid w:val="000937E5"/>
    <w:rsid w:val="000939E4"/>
    <w:rsid w:val="00094019"/>
    <w:rsid w:val="000942B6"/>
    <w:rsid w:val="00094DAC"/>
    <w:rsid w:val="00095478"/>
    <w:rsid w:val="0009630C"/>
    <w:rsid w:val="000972B3"/>
    <w:rsid w:val="00097C90"/>
    <w:rsid w:val="000A00A7"/>
    <w:rsid w:val="000A1611"/>
    <w:rsid w:val="000A1765"/>
    <w:rsid w:val="000A19EB"/>
    <w:rsid w:val="000A1D33"/>
    <w:rsid w:val="000A21A9"/>
    <w:rsid w:val="000A2474"/>
    <w:rsid w:val="000A2986"/>
    <w:rsid w:val="000A299D"/>
    <w:rsid w:val="000A2E6A"/>
    <w:rsid w:val="000A35A1"/>
    <w:rsid w:val="000A37B4"/>
    <w:rsid w:val="000A381C"/>
    <w:rsid w:val="000A3FB6"/>
    <w:rsid w:val="000A4086"/>
    <w:rsid w:val="000A420C"/>
    <w:rsid w:val="000A424C"/>
    <w:rsid w:val="000A42D7"/>
    <w:rsid w:val="000A45FC"/>
    <w:rsid w:val="000A506F"/>
    <w:rsid w:val="000A5328"/>
    <w:rsid w:val="000A555B"/>
    <w:rsid w:val="000A5615"/>
    <w:rsid w:val="000A5884"/>
    <w:rsid w:val="000A5C35"/>
    <w:rsid w:val="000A5EF9"/>
    <w:rsid w:val="000A6F77"/>
    <w:rsid w:val="000A739F"/>
    <w:rsid w:val="000B021A"/>
    <w:rsid w:val="000B1243"/>
    <w:rsid w:val="000B1B1C"/>
    <w:rsid w:val="000B21A6"/>
    <w:rsid w:val="000B21D8"/>
    <w:rsid w:val="000B269C"/>
    <w:rsid w:val="000B4AD9"/>
    <w:rsid w:val="000B51C5"/>
    <w:rsid w:val="000B5B36"/>
    <w:rsid w:val="000B5E64"/>
    <w:rsid w:val="000B6938"/>
    <w:rsid w:val="000B6E12"/>
    <w:rsid w:val="000B73E8"/>
    <w:rsid w:val="000C0A50"/>
    <w:rsid w:val="000C15AA"/>
    <w:rsid w:val="000C15F3"/>
    <w:rsid w:val="000C1BE7"/>
    <w:rsid w:val="000C1C3B"/>
    <w:rsid w:val="000C2AAD"/>
    <w:rsid w:val="000C3244"/>
    <w:rsid w:val="000C38C0"/>
    <w:rsid w:val="000C452F"/>
    <w:rsid w:val="000C46F4"/>
    <w:rsid w:val="000C46FC"/>
    <w:rsid w:val="000C5A98"/>
    <w:rsid w:val="000C5D31"/>
    <w:rsid w:val="000C68D6"/>
    <w:rsid w:val="000C697F"/>
    <w:rsid w:val="000C6D65"/>
    <w:rsid w:val="000C7163"/>
    <w:rsid w:val="000C72FC"/>
    <w:rsid w:val="000D0197"/>
    <w:rsid w:val="000D0236"/>
    <w:rsid w:val="000D042C"/>
    <w:rsid w:val="000D2038"/>
    <w:rsid w:val="000D2300"/>
    <w:rsid w:val="000D2521"/>
    <w:rsid w:val="000D3133"/>
    <w:rsid w:val="000D37DC"/>
    <w:rsid w:val="000D4715"/>
    <w:rsid w:val="000D52D4"/>
    <w:rsid w:val="000D547C"/>
    <w:rsid w:val="000D5BF6"/>
    <w:rsid w:val="000D6E88"/>
    <w:rsid w:val="000D77A4"/>
    <w:rsid w:val="000D7AB7"/>
    <w:rsid w:val="000E14C7"/>
    <w:rsid w:val="000E2361"/>
    <w:rsid w:val="000E246C"/>
    <w:rsid w:val="000E27F7"/>
    <w:rsid w:val="000E2A3B"/>
    <w:rsid w:val="000E2E04"/>
    <w:rsid w:val="000E335A"/>
    <w:rsid w:val="000E4198"/>
    <w:rsid w:val="000E41EC"/>
    <w:rsid w:val="000E4339"/>
    <w:rsid w:val="000E476C"/>
    <w:rsid w:val="000E4C08"/>
    <w:rsid w:val="000E5755"/>
    <w:rsid w:val="000E5CA1"/>
    <w:rsid w:val="000E5DB0"/>
    <w:rsid w:val="000E6367"/>
    <w:rsid w:val="000E6897"/>
    <w:rsid w:val="000E6B48"/>
    <w:rsid w:val="000F01D9"/>
    <w:rsid w:val="000F0569"/>
    <w:rsid w:val="000F0BA1"/>
    <w:rsid w:val="000F0C51"/>
    <w:rsid w:val="000F0EAC"/>
    <w:rsid w:val="000F1452"/>
    <w:rsid w:val="000F2417"/>
    <w:rsid w:val="000F2B30"/>
    <w:rsid w:val="000F4201"/>
    <w:rsid w:val="000F42A5"/>
    <w:rsid w:val="000F4B48"/>
    <w:rsid w:val="000F5239"/>
    <w:rsid w:val="000F5E46"/>
    <w:rsid w:val="000F61B5"/>
    <w:rsid w:val="000F6E3B"/>
    <w:rsid w:val="000F7443"/>
    <w:rsid w:val="000F7C20"/>
    <w:rsid w:val="000F7FA7"/>
    <w:rsid w:val="001020E1"/>
    <w:rsid w:val="00103424"/>
    <w:rsid w:val="00103D47"/>
    <w:rsid w:val="0010495C"/>
    <w:rsid w:val="00104E98"/>
    <w:rsid w:val="00104F75"/>
    <w:rsid w:val="00105F5F"/>
    <w:rsid w:val="001066D1"/>
    <w:rsid w:val="00106A7E"/>
    <w:rsid w:val="00106A91"/>
    <w:rsid w:val="00106EF3"/>
    <w:rsid w:val="001072A4"/>
    <w:rsid w:val="00107620"/>
    <w:rsid w:val="00107E65"/>
    <w:rsid w:val="00107FB0"/>
    <w:rsid w:val="00110898"/>
    <w:rsid w:val="00110A7C"/>
    <w:rsid w:val="00111488"/>
    <w:rsid w:val="00111A8C"/>
    <w:rsid w:val="00112243"/>
    <w:rsid w:val="0011298B"/>
    <w:rsid w:val="00112DB3"/>
    <w:rsid w:val="00113358"/>
    <w:rsid w:val="00113607"/>
    <w:rsid w:val="00114531"/>
    <w:rsid w:val="001149ED"/>
    <w:rsid w:val="00115050"/>
    <w:rsid w:val="00115498"/>
    <w:rsid w:val="001156CA"/>
    <w:rsid w:val="00115929"/>
    <w:rsid w:val="001161C3"/>
    <w:rsid w:val="00116269"/>
    <w:rsid w:val="00116C7B"/>
    <w:rsid w:val="001171EC"/>
    <w:rsid w:val="001172B4"/>
    <w:rsid w:val="0011733C"/>
    <w:rsid w:val="00117E5D"/>
    <w:rsid w:val="0012004F"/>
    <w:rsid w:val="001205FB"/>
    <w:rsid w:val="00121220"/>
    <w:rsid w:val="001218B5"/>
    <w:rsid w:val="0012270D"/>
    <w:rsid w:val="001228CE"/>
    <w:rsid w:val="00122B57"/>
    <w:rsid w:val="00122D98"/>
    <w:rsid w:val="00122EE6"/>
    <w:rsid w:val="00122F66"/>
    <w:rsid w:val="00123354"/>
    <w:rsid w:val="00123AD6"/>
    <w:rsid w:val="00124745"/>
    <w:rsid w:val="001249AC"/>
    <w:rsid w:val="00124F2C"/>
    <w:rsid w:val="0012600E"/>
    <w:rsid w:val="00127608"/>
    <w:rsid w:val="001279D2"/>
    <w:rsid w:val="00127C1A"/>
    <w:rsid w:val="00127D22"/>
    <w:rsid w:val="001301BA"/>
    <w:rsid w:val="001313D2"/>
    <w:rsid w:val="001318BA"/>
    <w:rsid w:val="00131E1A"/>
    <w:rsid w:val="00131F95"/>
    <w:rsid w:val="00132192"/>
    <w:rsid w:val="00133911"/>
    <w:rsid w:val="00133EFC"/>
    <w:rsid w:val="001344CB"/>
    <w:rsid w:val="00134A16"/>
    <w:rsid w:val="001351A1"/>
    <w:rsid w:val="001356CB"/>
    <w:rsid w:val="00136B5F"/>
    <w:rsid w:val="00137A9F"/>
    <w:rsid w:val="00137E19"/>
    <w:rsid w:val="0014070B"/>
    <w:rsid w:val="00140AB1"/>
    <w:rsid w:val="0014120F"/>
    <w:rsid w:val="0014168F"/>
    <w:rsid w:val="001416BB"/>
    <w:rsid w:val="00142172"/>
    <w:rsid w:val="00142AD5"/>
    <w:rsid w:val="00142AD6"/>
    <w:rsid w:val="00143532"/>
    <w:rsid w:val="00143CCB"/>
    <w:rsid w:val="001442F5"/>
    <w:rsid w:val="0014488E"/>
    <w:rsid w:val="001454AA"/>
    <w:rsid w:val="001454E7"/>
    <w:rsid w:val="001461FD"/>
    <w:rsid w:val="00146433"/>
    <w:rsid w:val="0014680E"/>
    <w:rsid w:val="001479F7"/>
    <w:rsid w:val="0015157B"/>
    <w:rsid w:val="001525C2"/>
    <w:rsid w:val="001528DB"/>
    <w:rsid w:val="00152FF2"/>
    <w:rsid w:val="00154850"/>
    <w:rsid w:val="00155C1B"/>
    <w:rsid w:val="00155D38"/>
    <w:rsid w:val="001568A2"/>
    <w:rsid w:val="00156DCA"/>
    <w:rsid w:val="00156F4D"/>
    <w:rsid w:val="00157504"/>
    <w:rsid w:val="00157617"/>
    <w:rsid w:val="0015793E"/>
    <w:rsid w:val="00157975"/>
    <w:rsid w:val="00157FC0"/>
    <w:rsid w:val="001602C9"/>
    <w:rsid w:val="00161B8E"/>
    <w:rsid w:val="00162266"/>
    <w:rsid w:val="00162775"/>
    <w:rsid w:val="00162F9D"/>
    <w:rsid w:val="001630E8"/>
    <w:rsid w:val="001639DA"/>
    <w:rsid w:val="00164816"/>
    <w:rsid w:val="00165A11"/>
    <w:rsid w:val="00165B7C"/>
    <w:rsid w:val="001660E3"/>
    <w:rsid w:val="001670D1"/>
    <w:rsid w:val="00167331"/>
    <w:rsid w:val="001678A1"/>
    <w:rsid w:val="001710F0"/>
    <w:rsid w:val="00171A1D"/>
    <w:rsid w:val="00172149"/>
    <w:rsid w:val="001722CD"/>
    <w:rsid w:val="00172C09"/>
    <w:rsid w:val="00173152"/>
    <w:rsid w:val="00173242"/>
    <w:rsid w:val="0017375D"/>
    <w:rsid w:val="00174897"/>
    <w:rsid w:val="00174B2F"/>
    <w:rsid w:val="00174C83"/>
    <w:rsid w:val="00174D82"/>
    <w:rsid w:val="0017518B"/>
    <w:rsid w:val="0017528D"/>
    <w:rsid w:val="0017532B"/>
    <w:rsid w:val="00175856"/>
    <w:rsid w:val="001764F4"/>
    <w:rsid w:val="001767BF"/>
    <w:rsid w:val="00176D19"/>
    <w:rsid w:val="001778EC"/>
    <w:rsid w:val="00177E22"/>
    <w:rsid w:val="00180010"/>
    <w:rsid w:val="0018002D"/>
    <w:rsid w:val="001801A3"/>
    <w:rsid w:val="0018052B"/>
    <w:rsid w:val="001809A9"/>
    <w:rsid w:val="00181475"/>
    <w:rsid w:val="00181587"/>
    <w:rsid w:val="00182A68"/>
    <w:rsid w:val="001831E4"/>
    <w:rsid w:val="0018334B"/>
    <w:rsid w:val="00184CA0"/>
    <w:rsid w:val="0018547D"/>
    <w:rsid w:val="00186AE4"/>
    <w:rsid w:val="00186E7E"/>
    <w:rsid w:val="00187AE5"/>
    <w:rsid w:val="00190CCC"/>
    <w:rsid w:val="00192270"/>
    <w:rsid w:val="0019229C"/>
    <w:rsid w:val="001927A4"/>
    <w:rsid w:val="00192CE0"/>
    <w:rsid w:val="00192CF8"/>
    <w:rsid w:val="00193ACF"/>
    <w:rsid w:val="00194390"/>
    <w:rsid w:val="001944EA"/>
    <w:rsid w:val="00195691"/>
    <w:rsid w:val="0019598D"/>
    <w:rsid w:val="001962DB"/>
    <w:rsid w:val="001967BC"/>
    <w:rsid w:val="001967D9"/>
    <w:rsid w:val="00197251"/>
    <w:rsid w:val="00197BF4"/>
    <w:rsid w:val="00197C1E"/>
    <w:rsid w:val="001A04B8"/>
    <w:rsid w:val="001A146D"/>
    <w:rsid w:val="001A1681"/>
    <w:rsid w:val="001A2008"/>
    <w:rsid w:val="001A31CB"/>
    <w:rsid w:val="001A46B4"/>
    <w:rsid w:val="001A49D3"/>
    <w:rsid w:val="001A4AC1"/>
    <w:rsid w:val="001A521A"/>
    <w:rsid w:val="001A532F"/>
    <w:rsid w:val="001A539A"/>
    <w:rsid w:val="001A566F"/>
    <w:rsid w:val="001A593E"/>
    <w:rsid w:val="001A6877"/>
    <w:rsid w:val="001A6A77"/>
    <w:rsid w:val="001A6B06"/>
    <w:rsid w:val="001A7DE8"/>
    <w:rsid w:val="001A7EBF"/>
    <w:rsid w:val="001B023B"/>
    <w:rsid w:val="001B0B3E"/>
    <w:rsid w:val="001B0B74"/>
    <w:rsid w:val="001B0CF0"/>
    <w:rsid w:val="001B1406"/>
    <w:rsid w:val="001B18F7"/>
    <w:rsid w:val="001B1EC9"/>
    <w:rsid w:val="001B21DF"/>
    <w:rsid w:val="001B25F6"/>
    <w:rsid w:val="001B2BD0"/>
    <w:rsid w:val="001B38F2"/>
    <w:rsid w:val="001B41F3"/>
    <w:rsid w:val="001B49FC"/>
    <w:rsid w:val="001B4ACD"/>
    <w:rsid w:val="001B4D42"/>
    <w:rsid w:val="001B6308"/>
    <w:rsid w:val="001B75AF"/>
    <w:rsid w:val="001C0C17"/>
    <w:rsid w:val="001C0E9A"/>
    <w:rsid w:val="001C0F1A"/>
    <w:rsid w:val="001C1550"/>
    <w:rsid w:val="001C276E"/>
    <w:rsid w:val="001C2B31"/>
    <w:rsid w:val="001C346A"/>
    <w:rsid w:val="001C44A2"/>
    <w:rsid w:val="001C47E8"/>
    <w:rsid w:val="001C4BF7"/>
    <w:rsid w:val="001C50A4"/>
    <w:rsid w:val="001C5433"/>
    <w:rsid w:val="001C63C1"/>
    <w:rsid w:val="001C648B"/>
    <w:rsid w:val="001C76D3"/>
    <w:rsid w:val="001C7B10"/>
    <w:rsid w:val="001C7CB1"/>
    <w:rsid w:val="001D04FB"/>
    <w:rsid w:val="001D08C3"/>
    <w:rsid w:val="001D0CD1"/>
    <w:rsid w:val="001D10D5"/>
    <w:rsid w:val="001D13ED"/>
    <w:rsid w:val="001D14FB"/>
    <w:rsid w:val="001D17B6"/>
    <w:rsid w:val="001D1B2B"/>
    <w:rsid w:val="001D1F19"/>
    <w:rsid w:val="001D25CA"/>
    <w:rsid w:val="001D276D"/>
    <w:rsid w:val="001D3074"/>
    <w:rsid w:val="001D3B6B"/>
    <w:rsid w:val="001D3BFC"/>
    <w:rsid w:val="001D3C6F"/>
    <w:rsid w:val="001D51A7"/>
    <w:rsid w:val="001D5897"/>
    <w:rsid w:val="001D612E"/>
    <w:rsid w:val="001D61F3"/>
    <w:rsid w:val="001D621C"/>
    <w:rsid w:val="001D6574"/>
    <w:rsid w:val="001D6747"/>
    <w:rsid w:val="001D706B"/>
    <w:rsid w:val="001D74A3"/>
    <w:rsid w:val="001D7C2A"/>
    <w:rsid w:val="001E0942"/>
    <w:rsid w:val="001E0B16"/>
    <w:rsid w:val="001E0BE7"/>
    <w:rsid w:val="001E0D37"/>
    <w:rsid w:val="001E12B8"/>
    <w:rsid w:val="001E1DA3"/>
    <w:rsid w:val="001E2202"/>
    <w:rsid w:val="001E24D5"/>
    <w:rsid w:val="001E3FE3"/>
    <w:rsid w:val="001E40DF"/>
    <w:rsid w:val="001E4CEA"/>
    <w:rsid w:val="001E503C"/>
    <w:rsid w:val="001E537E"/>
    <w:rsid w:val="001E57A0"/>
    <w:rsid w:val="001E6C18"/>
    <w:rsid w:val="001E738F"/>
    <w:rsid w:val="001E7A34"/>
    <w:rsid w:val="001E7B96"/>
    <w:rsid w:val="001F05A5"/>
    <w:rsid w:val="001F0707"/>
    <w:rsid w:val="001F1982"/>
    <w:rsid w:val="001F1A98"/>
    <w:rsid w:val="001F3029"/>
    <w:rsid w:val="001F31FB"/>
    <w:rsid w:val="001F32ED"/>
    <w:rsid w:val="001F36E9"/>
    <w:rsid w:val="001F3B98"/>
    <w:rsid w:val="001F449A"/>
    <w:rsid w:val="001F4FC2"/>
    <w:rsid w:val="001F57EC"/>
    <w:rsid w:val="001F662D"/>
    <w:rsid w:val="001F691B"/>
    <w:rsid w:val="001F6956"/>
    <w:rsid w:val="001F6DD6"/>
    <w:rsid w:val="001F7D1F"/>
    <w:rsid w:val="001F7F35"/>
    <w:rsid w:val="002007E2"/>
    <w:rsid w:val="0020106F"/>
    <w:rsid w:val="00201565"/>
    <w:rsid w:val="00202EF3"/>
    <w:rsid w:val="00202F84"/>
    <w:rsid w:val="00203E92"/>
    <w:rsid w:val="00203EF2"/>
    <w:rsid w:val="002041B7"/>
    <w:rsid w:val="002043CD"/>
    <w:rsid w:val="00204633"/>
    <w:rsid w:val="002049D4"/>
    <w:rsid w:val="00204A3C"/>
    <w:rsid w:val="00204D56"/>
    <w:rsid w:val="002059BC"/>
    <w:rsid w:val="00206652"/>
    <w:rsid w:val="0020678A"/>
    <w:rsid w:val="0020689C"/>
    <w:rsid w:val="00206BA3"/>
    <w:rsid w:val="0020717F"/>
    <w:rsid w:val="00207890"/>
    <w:rsid w:val="00207B6F"/>
    <w:rsid w:val="00207CEA"/>
    <w:rsid w:val="002102FD"/>
    <w:rsid w:val="00210375"/>
    <w:rsid w:val="00210411"/>
    <w:rsid w:val="00211198"/>
    <w:rsid w:val="00211C98"/>
    <w:rsid w:val="00212098"/>
    <w:rsid w:val="002122EC"/>
    <w:rsid w:val="00212F21"/>
    <w:rsid w:val="00213399"/>
    <w:rsid w:val="00213D7D"/>
    <w:rsid w:val="00214458"/>
    <w:rsid w:val="00216925"/>
    <w:rsid w:val="00216E68"/>
    <w:rsid w:val="00217039"/>
    <w:rsid w:val="00217511"/>
    <w:rsid w:val="00217E5B"/>
    <w:rsid w:val="002200AE"/>
    <w:rsid w:val="0022092C"/>
    <w:rsid w:val="00221473"/>
    <w:rsid w:val="00221669"/>
    <w:rsid w:val="002216A5"/>
    <w:rsid w:val="00221967"/>
    <w:rsid w:val="00221C12"/>
    <w:rsid w:val="00221C63"/>
    <w:rsid w:val="00222144"/>
    <w:rsid w:val="002225EA"/>
    <w:rsid w:val="00222770"/>
    <w:rsid w:val="00222D60"/>
    <w:rsid w:val="00223551"/>
    <w:rsid w:val="00223A64"/>
    <w:rsid w:val="00223A66"/>
    <w:rsid w:val="00223B27"/>
    <w:rsid w:val="00223C11"/>
    <w:rsid w:val="00224447"/>
    <w:rsid w:val="00224ECA"/>
    <w:rsid w:val="002253CC"/>
    <w:rsid w:val="0022550D"/>
    <w:rsid w:val="0022794C"/>
    <w:rsid w:val="0023005C"/>
    <w:rsid w:val="002302FC"/>
    <w:rsid w:val="0023188C"/>
    <w:rsid w:val="00231A89"/>
    <w:rsid w:val="00231B3C"/>
    <w:rsid w:val="002320C5"/>
    <w:rsid w:val="0023224E"/>
    <w:rsid w:val="00232465"/>
    <w:rsid w:val="0023272E"/>
    <w:rsid w:val="002331BB"/>
    <w:rsid w:val="00233551"/>
    <w:rsid w:val="0023463A"/>
    <w:rsid w:val="00234AC9"/>
    <w:rsid w:val="00234C71"/>
    <w:rsid w:val="002351D4"/>
    <w:rsid w:val="00235269"/>
    <w:rsid w:val="00235F9F"/>
    <w:rsid w:val="0023657C"/>
    <w:rsid w:val="00236AC6"/>
    <w:rsid w:val="00236B84"/>
    <w:rsid w:val="00236C8D"/>
    <w:rsid w:val="00237108"/>
    <w:rsid w:val="002373C2"/>
    <w:rsid w:val="0023766B"/>
    <w:rsid w:val="00237B3D"/>
    <w:rsid w:val="00237D21"/>
    <w:rsid w:val="00240BCA"/>
    <w:rsid w:val="00241A84"/>
    <w:rsid w:val="00241F75"/>
    <w:rsid w:val="00242A16"/>
    <w:rsid w:val="00243121"/>
    <w:rsid w:val="002431F1"/>
    <w:rsid w:val="00243B42"/>
    <w:rsid w:val="00244211"/>
    <w:rsid w:val="002455AC"/>
    <w:rsid w:val="002455C9"/>
    <w:rsid w:val="00245799"/>
    <w:rsid w:val="00246708"/>
    <w:rsid w:val="00246FCF"/>
    <w:rsid w:val="00247369"/>
    <w:rsid w:val="0024762C"/>
    <w:rsid w:val="00247689"/>
    <w:rsid w:val="00247891"/>
    <w:rsid w:val="00247F8B"/>
    <w:rsid w:val="0025008C"/>
    <w:rsid w:val="00250217"/>
    <w:rsid w:val="0025041F"/>
    <w:rsid w:val="00250F00"/>
    <w:rsid w:val="002517FA"/>
    <w:rsid w:val="00251F70"/>
    <w:rsid w:val="00252C3B"/>
    <w:rsid w:val="002530C8"/>
    <w:rsid w:val="00253DB5"/>
    <w:rsid w:val="00253E67"/>
    <w:rsid w:val="002547DE"/>
    <w:rsid w:val="002549CC"/>
    <w:rsid w:val="00254BA7"/>
    <w:rsid w:val="00254D22"/>
    <w:rsid w:val="00254D2D"/>
    <w:rsid w:val="00254F07"/>
    <w:rsid w:val="00255574"/>
    <w:rsid w:val="00255CB2"/>
    <w:rsid w:val="002562B2"/>
    <w:rsid w:val="0025633A"/>
    <w:rsid w:val="00256F60"/>
    <w:rsid w:val="00257193"/>
    <w:rsid w:val="0026048F"/>
    <w:rsid w:val="0026166B"/>
    <w:rsid w:val="00262281"/>
    <w:rsid w:val="00262718"/>
    <w:rsid w:val="00263274"/>
    <w:rsid w:val="002640B6"/>
    <w:rsid w:val="0026449B"/>
    <w:rsid w:val="00264BAB"/>
    <w:rsid w:val="0026576A"/>
    <w:rsid w:val="00265A6A"/>
    <w:rsid w:val="00265BC2"/>
    <w:rsid w:val="002666A1"/>
    <w:rsid w:val="00266E43"/>
    <w:rsid w:val="00267ABB"/>
    <w:rsid w:val="00267DEC"/>
    <w:rsid w:val="00267F05"/>
    <w:rsid w:val="002705CE"/>
    <w:rsid w:val="00270690"/>
    <w:rsid w:val="00270D3F"/>
    <w:rsid w:val="00270EC7"/>
    <w:rsid w:val="00271F37"/>
    <w:rsid w:val="00272119"/>
    <w:rsid w:val="002730B3"/>
    <w:rsid w:val="002731D2"/>
    <w:rsid w:val="0027425C"/>
    <w:rsid w:val="002762C8"/>
    <w:rsid w:val="0027634F"/>
    <w:rsid w:val="00276600"/>
    <w:rsid w:val="002768BF"/>
    <w:rsid w:val="0027772C"/>
    <w:rsid w:val="002777AC"/>
    <w:rsid w:val="002814B9"/>
    <w:rsid w:val="00282086"/>
    <w:rsid w:val="002825EC"/>
    <w:rsid w:val="002827BD"/>
    <w:rsid w:val="00282A5F"/>
    <w:rsid w:val="002842A1"/>
    <w:rsid w:val="00284A08"/>
    <w:rsid w:val="00284D69"/>
    <w:rsid w:val="00284D79"/>
    <w:rsid w:val="00285007"/>
    <w:rsid w:val="002850D8"/>
    <w:rsid w:val="00285428"/>
    <w:rsid w:val="00285CAB"/>
    <w:rsid w:val="00285E40"/>
    <w:rsid w:val="00286042"/>
    <w:rsid w:val="00286BD4"/>
    <w:rsid w:val="00287C40"/>
    <w:rsid w:val="00287F6D"/>
    <w:rsid w:val="0029066C"/>
    <w:rsid w:val="002911F2"/>
    <w:rsid w:val="002912C4"/>
    <w:rsid w:val="00291429"/>
    <w:rsid w:val="002915D6"/>
    <w:rsid w:val="002918F7"/>
    <w:rsid w:val="00291D5F"/>
    <w:rsid w:val="0029375B"/>
    <w:rsid w:val="00293F3C"/>
    <w:rsid w:val="00293FE4"/>
    <w:rsid w:val="00295092"/>
    <w:rsid w:val="002954B0"/>
    <w:rsid w:val="002958D1"/>
    <w:rsid w:val="0029595C"/>
    <w:rsid w:val="002959AE"/>
    <w:rsid w:val="00295A66"/>
    <w:rsid w:val="00295ECF"/>
    <w:rsid w:val="0029699F"/>
    <w:rsid w:val="00296F0F"/>
    <w:rsid w:val="002A19BA"/>
    <w:rsid w:val="002A2B59"/>
    <w:rsid w:val="002A30C1"/>
    <w:rsid w:val="002A321F"/>
    <w:rsid w:val="002A3493"/>
    <w:rsid w:val="002A35AC"/>
    <w:rsid w:val="002A3B18"/>
    <w:rsid w:val="002A3B32"/>
    <w:rsid w:val="002A450B"/>
    <w:rsid w:val="002A4D78"/>
    <w:rsid w:val="002A56A8"/>
    <w:rsid w:val="002A66C4"/>
    <w:rsid w:val="002A7357"/>
    <w:rsid w:val="002B0184"/>
    <w:rsid w:val="002B04A4"/>
    <w:rsid w:val="002B04BD"/>
    <w:rsid w:val="002B07AF"/>
    <w:rsid w:val="002B098F"/>
    <w:rsid w:val="002B148B"/>
    <w:rsid w:val="002B1FA3"/>
    <w:rsid w:val="002B252E"/>
    <w:rsid w:val="002B2B29"/>
    <w:rsid w:val="002B3590"/>
    <w:rsid w:val="002B3D64"/>
    <w:rsid w:val="002B4116"/>
    <w:rsid w:val="002B43A1"/>
    <w:rsid w:val="002B4935"/>
    <w:rsid w:val="002B4CC4"/>
    <w:rsid w:val="002B4F8E"/>
    <w:rsid w:val="002B5876"/>
    <w:rsid w:val="002B5C48"/>
    <w:rsid w:val="002B5D25"/>
    <w:rsid w:val="002B65B4"/>
    <w:rsid w:val="002B70F5"/>
    <w:rsid w:val="002B7380"/>
    <w:rsid w:val="002B7638"/>
    <w:rsid w:val="002B7B73"/>
    <w:rsid w:val="002B7ECC"/>
    <w:rsid w:val="002C0236"/>
    <w:rsid w:val="002C08F6"/>
    <w:rsid w:val="002C0922"/>
    <w:rsid w:val="002C09D9"/>
    <w:rsid w:val="002C09DF"/>
    <w:rsid w:val="002C139F"/>
    <w:rsid w:val="002C1880"/>
    <w:rsid w:val="002C1B90"/>
    <w:rsid w:val="002C1D00"/>
    <w:rsid w:val="002C1DD9"/>
    <w:rsid w:val="002C2682"/>
    <w:rsid w:val="002C2DB8"/>
    <w:rsid w:val="002C328B"/>
    <w:rsid w:val="002C49A4"/>
    <w:rsid w:val="002C4B1B"/>
    <w:rsid w:val="002C53C2"/>
    <w:rsid w:val="002C5570"/>
    <w:rsid w:val="002C5952"/>
    <w:rsid w:val="002C5CF2"/>
    <w:rsid w:val="002C6093"/>
    <w:rsid w:val="002C6D33"/>
    <w:rsid w:val="002C74C5"/>
    <w:rsid w:val="002D0128"/>
    <w:rsid w:val="002D11AF"/>
    <w:rsid w:val="002D2AFC"/>
    <w:rsid w:val="002D33C6"/>
    <w:rsid w:val="002D347D"/>
    <w:rsid w:val="002D3591"/>
    <w:rsid w:val="002D3C0C"/>
    <w:rsid w:val="002D3DD8"/>
    <w:rsid w:val="002D3F32"/>
    <w:rsid w:val="002D437A"/>
    <w:rsid w:val="002D4A6E"/>
    <w:rsid w:val="002D5226"/>
    <w:rsid w:val="002D5684"/>
    <w:rsid w:val="002D58FB"/>
    <w:rsid w:val="002D5DAF"/>
    <w:rsid w:val="002D641F"/>
    <w:rsid w:val="002D6BA1"/>
    <w:rsid w:val="002D6E4B"/>
    <w:rsid w:val="002D6FBF"/>
    <w:rsid w:val="002D7CF9"/>
    <w:rsid w:val="002E08B4"/>
    <w:rsid w:val="002E0A90"/>
    <w:rsid w:val="002E1301"/>
    <w:rsid w:val="002E1D28"/>
    <w:rsid w:val="002E1F6D"/>
    <w:rsid w:val="002E3614"/>
    <w:rsid w:val="002E3A93"/>
    <w:rsid w:val="002E41A6"/>
    <w:rsid w:val="002E423D"/>
    <w:rsid w:val="002E5449"/>
    <w:rsid w:val="002E56D7"/>
    <w:rsid w:val="002E595E"/>
    <w:rsid w:val="002E5B6D"/>
    <w:rsid w:val="002E6724"/>
    <w:rsid w:val="002E6ECB"/>
    <w:rsid w:val="002E7821"/>
    <w:rsid w:val="002E78E8"/>
    <w:rsid w:val="002E798F"/>
    <w:rsid w:val="002E7A76"/>
    <w:rsid w:val="002E7A90"/>
    <w:rsid w:val="002E7B41"/>
    <w:rsid w:val="002F02B4"/>
    <w:rsid w:val="002F08AB"/>
    <w:rsid w:val="002F0AC6"/>
    <w:rsid w:val="002F0E7B"/>
    <w:rsid w:val="002F1061"/>
    <w:rsid w:val="002F2312"/>
    <w:rsid w:val="002F24D5"/>
    <w:rsid w:val="002F2CB4"/>
    <w:rsid w:val="002F3044"/>
    <w:rsid w:val="002F3906"/>
    <w:rsid w:val="002F3C51"/>
    <w:rsid w:val="002F3CD9"/>
    <w:rsid w:val="002F42AB"/>
    <w:rsid w:val="002F434F"/>
    <w:rsid w:val="002F500D"/>
    <w:rsid w:val="002F5FE2"/>
    <w:rsid w:val="002F792F"/>
    <w:rsid w:val="002F7A4C"/>
    <w:rsid w:val="002F7C37"/>
    <w:rsid w:val="00300B6E"/>
    <w:rsid w:val="00300C34"/>
    <w:rsid w:val="00300E01"/>
    <w:rsid w:val="00301284"/>
    <w:rsid w:val="003019E9"/>
    <w:rsid w:val="00301B41"/>
    <w:rsid w:val="003032A5"/>
    <w:rsid w:val="00304846"/>
    <w:rsid w:val="0030505F"/>
    <w:rsid w:val="00305477"/>
    <w:rsid w:val="0030597A"/>
    <w:rsid w:val="00305F67"/>
    <w:rsid w:val="00307033"/>
    <w:rsid w:val="00307636"/>
    <w:rsid w:val="00307A80"/>
    <w:rsid w:val="0031089D"/>
    <w:rsid w:val="00310C4D"/>
    <w:rsid w:val="00311673"/>
    <w:rsid w:val="00313E24"/>
    <w:rsid w:val="003146F8"/>
    <w:rsid w:val="00314F59"/>
    <w:rsid w:val="003153EC"/>
    <w:rsid w:val="0031586F"/>
    <w:rsid w:val="00315D8B"/>
    <w:rsid w:val="00315E86"/>
    <w:rsid w:val="003177B4"/>
    <w:rsid w:val="0032066B"/>
    <w:rsid w:val="00320EDC"/>
    <w:rsid w:val="00321B80"/>
    <w:rsid w:val="003228E3"/>
    <w:rsid w:val="00322BAA"/>
    <w:rsid w:val="003236C2"/>
    <w:rsid w:val="003255C3"/>
    <w:rsid w:val="00326986"/>
    <w:rsid w:val="003270E3"/>
    <w:rsid w:val="003271FE"/>
    <w:rsid w:val="003278FB"/>
    <w:rsid w:val="003300FA"/>
    <w:rsid w:val="003302BC"/>
    <w:rsid w:val="0033036C"/>
    <w:rsid w:val="00330802"/>
    <w:rsid w:val="0033086B"/>
    <w:rsid w:val="0033150B"/>
    <w:rsid w:val="003323EE"/>
    <w:rsid w:val="00332EA9"/>
    <w:rsid w:val="0033315A"/>
    <w:rsid w:val="00333488"/>
    <w:rsid w:val="0033362B"/>
    <w:rsid w:val="00334607"/>
    <w:rsid w:val="00334DEE"/>
    <w:rsid w:val="0033597F"/>
    <w:rsid w:val="00335EE9"/>
    <w:rsid w:val="00336296"/>
    <w:rsid w:val="00336475"/>
    <w:rsid w:val="003371AA"/>
    <w:rsid w:val="00337E1F"/>
    <w:rsid w:val="00341001"/>
    <w:rsid w:val="00341107"/>
    <w:rsid w:val="00342FB7"/>
    <w:rsid w:val="003433E3"/>
    <w:rsid w:val="00344432"/>
    <w:rsid w:val="00344933"/>
    <w:rsid w:val="00344A4E"/>
    <w:rsid w:val="0034529E"/>
    <w:rsid w:val="00345334"/>
    <w:rsid w:val="00345EEA"/>
    <w:rsid w:val="00346491"/>
    <w:rsid w:val="00346665"/>
    <w:rsid w:val="00350432"/>
    <w:rsid w:val="003505FB"/>
    <w:rsid w:val="00351640"/>
    <w:rsid w:val="00351C90"/>
    <w:rsid w:val="00351E31"/>
    <w:rsid w:val="00352596"/>
    <w:rsid w:val="0035361B"/>
    <w:rsid w:val="00353AEA"/>
    <w:rsid w:val="00354F00"/>
    <w:rsid w:val="00355146"/>
    <w:rsid w:val="00355479"/>
    <w:rsid w:val="003561AB"/>
    <w:rsid w:val="00356DDE"/>
    <w:rsid w:val="003570CF"/>
    <w:rsid w:val="0035750B"/>
    <w:rsid w:val="00357A8A"/>
    <w:rsid w:val="00357A8F"/>
    <w:rsid w:val="00357DE6"/>
    <w:rsid w:val="00360056"/>
    <w:rsid w:val="003600CC"/>
    <w:rsid w:val="00360FD1"/>
    <w:rsid w:val="003611C9"/>
    <w:rsid w:val="00361448"/>
    <w:rsid w:val="00361521"/>
    <w:rsid w:val="00361DEE"/>
    <w:rsid w:val="00361E99"/>
    <w:rsid w:val="0036210A"/>
    <w:rsid w:val="003625AC"/>
    <w:rsid w:val="0036341B"/>
    <w:rsid w:val="00363C80"/>
    <w:rsid w:val="00363F93"/>
    <w:rsid w:val="003641EF"/>
    <w:rsid w:val="003643A5"/>
    <w:rsid w:val="003644A2"/>
    <w:rsid w:val="00364AD9"/>
    <w:rsid w:val="00364D1A"/>
    <w:rsid w:val="00364EA9"/>
    <w:rsid w:val="00365D38"/>
    <w:rsid w:val="003661D0"/>
    <w:rsid w:val="00366212"/>
    <w:rsid w:val="00367B71"/>
    <w:rsid w:val="00367D0B"/>
    <w:rsid w:val="0037093F"/>
    <w:rsid w:val="00371258"/>
    <w:rsid w:val="0037139F"/>
    <w:rsid w:val="0037162B"/>
    <w:rsid w:val="0037163F"/>
    <w:rsid w:val="00371785"/>
    <w:rsid w:val="003718A2"/>
    <w:rsid w:val="00371A48"/>
    <w:rsid w:val="00371FB9"/>
    <w:rsid w:val="003720ED"/>
    <w:rsid w:val="003727B9"/>
    <w:rsid w:val="003733AF"/>
    <w:rsid w:val="003733C1"/>
    <w:rsid w:val="00374776"/>
    <w:rsid w:val="0037615E"/>
    <w:rsid w:val="00376A81"/>
    <w:rsid w:val="00376C4D"/>
    <w:rsid w:val="00377682"/>
    <w:rsid w:val="00377DA3"/>
    <w:rsid w:val="00380E53"/>
    <w:rsid w:val="00380F63"/>
    <w:rsid w:val="00382B9F"/>
    <w:rsid w:val="00383038"/>
    <w:rsid w:val="00383F57"/>
    <w:rsid w:val="003844EE"/>
    <w:rsid w:val="00384FC4"/>
    <w:rsid w:val="00385267"/>
    <w:rsid w:val="00385A56"/>
    <w:rsid w:val="00385DA3"/>
    <w:rsid w:val="00385F77"/>
    <w:rsid w:val="003860A6"/>
    <w:rsid w:val="00386339"/>
    <w:rsid w:val="003864DA"/>
    <w:rsid w:val="00387C0C"/>
    <w:rsid w:val="003908C5"/>
    <w:rsid w:val="00390C00"/>
    <w:rsid w:val="00390DC8"/>
    <w:rsid w:val="0039138A"/>
    <w:rsid w:val="0039190C"/>
    <w:rsid w:val="00391ADD"/>
    <w:rsid w:val="00391EAD"/>
    <w:rsid w:val="00392091"/>
    <w:rsid w:val="0039209D"/>
    <w:rsid w:val="003923EB"/>
    <w:rsid w:val="00392632"/>
    <w:rsid w:val="003931B7"/>
    <w:rsid w:val="003936D5"/>
    <w:rsid w:val="0039392C"/>
    <w:rsid w:val="00393E88"/>
    <w:rsid w:val="00394ABD"/>
    <w:rsid w:val="00394F5E"/>
    <w:rsid w:val="003951A9"/>
    <w:rsid w:val="0039542D"/>
    <w:rsid w:val="00396274"/>
    <w:rsid w:val="003966B5"/>
    <w:rsid w:val="003971AB"/>
    <w:rsid w:val="003A148F"/>
    <w:rsid w:val="003A18FE"/>
    <w:rsid w:val="003A1CFA"/>
    <w:rsid w:val="003A2BD5"/>
    <w:rsid w:val="003A342F"/>
    <w:rsid w:val="003A352A"/>
    <w:rsid w:val="003A373D"/>
    <w:rsid w:val="003A4402"/>
    <w:rsid w:val="003A507F"/>
    <w:rsid w:val="003A510D"/>
    <w:rsid w:val="003A5D51"/>
    <w:rsid w:val="003A661C"/>
    <w:rsid w:val="003A6DBE"/>
    <w:rsid w:val="003A734F"/>
    <w:rsid w:val="003B059D"/>
    <w:rsid w:val="003B1414"/>
    <w:rsid w:val="003B1987"/>
    <w:rsid w:val="003B1F57"/>
    <w:rsid w:val="003B2B2A"/>
    <w:rsid w:val="003B3B9E"/>
    <w:rsid w:val="003B3E67"/>
    <w:rsid w:val="003B3EE8"/>
    <w:rsid w:val="003B407C"/>
    <w:rsid w:val="003B408E"/>
    <w:rsid w:val="003B41CF"/>
    <w:rsid w:val="003B4456"/>
    <w:rsid w:val="003B5B5C"/>
    <w:rsid w:val="003B5C64"/>
    <w:rsid w:val="003B63D6"/>
    <w:rsid w:val="003B68CC"/>
    <w:rsid w:val="003B6AD8"/>
    <w:rsid w:val="003B6B5C"/>
    <w:rsid w:val="003B7AAE"/>
    <w:rsid w:val="003B7F95"/>
    <w:rsid w:val="003C085F"/>
    <w:rsid w:val="003C0F6A"/>
    <w:rsid w:val="003C1257"/>
    <w:rsid w:val="003C12C5"/>
    <w:rsid w:val="003C1425"/>
    <w:rsid w:val="003C162D"/>
    <w:rsid w:val="003C27E5"/>
    <w:rsid w:val="003C2A74"/>
    <w:rsid w:val="003C3542"/>
    <w:rsid w:val="003C355E"/>
    <w:rsid w:val="003C37BD"/>
    <w:rsid w:val="003C39D2"/>
    <w:rsid w:val="003C3A63"/>
    <w:rsid w:val="003C48B8"/>
    <w:rsid w:val="003C5432"/>
    <w:rsid w:val="003C5950"/>
    <w:rsid w:val="003C5B54"/>
    <w:rsid w:val="003C5F24"/>
    <w:rsid w:val="003C6209"/>
    <w:rsid w:val="003C63AD"/>
    <w:rsid w:val="003C6B2B"/>
    <w:rsid w:val="003C6CB0"/>
    <w:rsid w:val="003C6D45"/>
    <w:rsid w:val="003C71D7"/>
    <w:rsid w:val="003C7998"/>
    <w:rsid w:val="003C7B84"/>
    <w:rsid w:val="003C7D58"/>
    <w:rsid w:val="003C7DD6"/>
    <w:rsid w:val="003D0BE7"/>
    <w:rsid w:val="003D19F7"/>
    <w:rsid w:val="003D1BBE"/>
    <w:rsid w:val="003D2BE7"/>
    <w:rsid w:val="003D2C09"/>
    <w:rsid w:val="003D3238"/>
    <w:rsid w:val="003D3363"/>
    <w:rsid w:val="003D37CD"/>
    <w:rsid w:val="003D517D"/>
    <w:rsid w:val="003D6650"/>
    <w:rsid w:val="003D6970"/>
    <w:rsid w:val="003D6D84"/>
    <w:rsid w:val="003D6FCA"/>
    <w:rsid w:val="003D7311"/>
    <w:rsid w:val="003D7575"/>
    <w:rsid w:val="003D7DBF"/>
    <w:rsid w:val="003D7ED2"/>
    <w:rsid w:val="003E0607"/>
    <w:rsid w:val="003E0858"/>
    <w:rsid w:val="003E0DEB"/>
    <w:rsid w:val="003E13E6"/>
    <w:rsid w:val="003E14D1"/>
    <w:rsid w:val="003E1B9D"/>
    <w:rsid w:val="003E36FC"/>
    <w:rsid w:val="003E406A"/>
    <w:rsid w:val="003E4963"/>
    <w:rsid w:val="003E4B1F"/>
    <w:rsid w:val="003E59CC"/>
    <w:rsid w:val="003E5C81"/>
    <w:rsid w:val="003E693D"/>
    <w:rsid w:val="003E6D17"/>
    <w:rsid w:val="003E73D9"/>
    <w:rsid w:val="003E7925"/>
    <w:rsid w:val="003E7AB0"/>
    <w:rsid w:val="003F0BC1"/>
    <w:rsid w:val="003F0FC5"/>
    <w:rsid w:val="003F14C8"/>
    <w:rsid w:val="003F1D76"/>
    <w:rsid w:val="003F2660"/>
    <w:rsid w:val="003F2FF3"/>
    <w:rsid w:val="003F3119"/>
    <w:rsid w:val="003F35D4"/>
    <w:rsid w:val="003F36DF"/>
    <w:rsid w:val="003F41E1"/>
    <w:rsid w:val="003F479E"/>
    <w:rsid w:val="003F49FF"/>
    <w:rsid w:val="003F4C19"/>
    <w:rsid w:val="003F509E"/>
    <w:rsid w:val="003F5426"/>
    <w:rsid w:val="003F68B9"/>
    <w:rsid w:val="003F73F6"/>
    <w:rsid w:val="003F77D1"/>
    <w:rsid w:val="003F7C59"/>
    <w:rsid w:val="004000D6"/>
    <w:rsid w:val="00400683"/>
    <w:rsid w:val="00400B0B"/>
    <w:rsid w:val="00400B65"/>
    <w:rsid w:val="00401567"/>
    <w:rsid w:val="004016B9"/>
    <w:rsid w:val="0040177F"/>
    <w:rsid w:val="00401F53"/>
    <w:rsid w:val="00402584"/>
    <w:rsid w:val="00402760"/>
    <w:rsid w:val="004035B3"/>
    <w:rsid w:val="004037DD"/>
    <w:rsid w:val="00403A66"/>
    <w:rsid w:val="00403FCD"/>
    <w:rsid w:val="00405C0D"/>
    <w:rsid w:val="00405C35"/>
    <w:rsid w:val="00405E79"/>
    <w:rsid w:val="00406A30"/>
    <w:rsid w:val="00406E2A"/>
    <w:rsid w:val="004071F3"/>
    <w:rsid w:val="00407476"/>
    <w:rsid w:val="004075ED"/>
    <w:rsid w:val="00407E93"/>
    <w:rsid w:val="00407EB3"/>
    <w:rsid w:val="00407F0B"/>
    <w:rsid w:val="00410B97"/>
    <w:rsid w:val="00411156"/>
    <w:rsid w:val="004112F8"/>
    <w:rsid w:val="00411EB4"/>
    <w:rsid w:val="00412269"/>
    <w:rsid w:val="0041255B"/>
    <w:rsid w:val="004125EA"/>
    <w:rsid w:val="004128A7"/>
    <w:rsid w:val="0041315E"/>
    <w:rsid w:val="0041382B"/>
    <w:rsid w:val="00416E01"/>
    <w:rsid w:val="00416EB4"/>
    <w:rsid w:val="004175B2"/>
    <w:rsid w:val="00417780"/>
    <w:rsid w:val="00420123"/>
    <w:rsid w:val="00420391"/>
    <w:rsid w:val="004218AA"/>
    <w:rsid w:val="00421C53"/>
    <w:rsid w:val="00423182"/>
    <w:rsid w:val="00423417"/>
    <w:rsid w:val="00423957"/>
    <w:rsid w:val="00423A42"/>
    <w:rsid w:val="00423AB5"/>
    <w:rsid w:val="004240CE"/>
    <w:rsid w:val="004247D4"/>
    <w:rsid w:val="00424BED"/>
    <w:rsid w:val="0042581F"/>
    <w:rsid w:val="00426766"/>
    <w:rsid w:val="004269AB"/>
    <w:rsid w:val="004276AF"/>
    <w:rsid w:val="004278F8"/>
    <w:rsid w:val="00427C4C"/>
    <w:rsid w:val="004301B6"/>
    <w:rsid w:val="0043038B"/>
    <w:rsid w:val="00430C58"/>
    <w:rsid w:val="004322EC"/>
    <w:rsid w:val="00432445"/>
    <w:rsid w:val="0043250E"/>
    <w:rsid w:val="00433298"/>
    <w:rsid w:val="00433419"/>
    <w:rsid w:val="00433431"/>
    <w:rsid w:val="004334CB"/>
    <w:rsid w:val="0043369F"/>
    <w:rsid w:val="00434458"/>
    <w:rsid w:val="004350B4"/>
    <w:rsid w:val="00435A41"/>
    <w:rsid w:val="00435CA8"/>
    <w:rsid w:val="0043610C"/>
    <w:rsid w:val="00436EDB"/>
    <w:rsid w:val="004370D4"/>
    <w:rsid w:val="00437CBC"/>
    <w:rsid w:val="00440337"/>
    <w:rsid w:val="004407A1"/>
    <w:rsid w:val="00441A4F"/>
    <w:rsid w:val="00441B81"/>
    <w:rsid w:val="0044350E"/>
    <w:rsid w:val="004439B5"/>
    <w:rsid w:val="00443A6B"/>
    <w:rsid w:val="00443DCF"/>
    <w:rsid w:val="00443F9D"/>
    <w:rsid w:val="00443FBE"/>
    <w:rsid w:val="004441F8"/>
    <w:rsid w:val="00444351"/>
    <w:rsid w:val="004443CB"/>
    <w:rsid w:val="0044499E"/>
    <w:rsid w:val="00445199"/>
    <w:rsid w:val="004455D1"/>
    <w:rsid w:val="004458C7"/>
    <w:rsid w:val="00450358"/>
    <w:rsid w:val="0045095E"/>
    <w:rsid w:val="00450E57"/>
    <w:rsid w:val="00451029"/>
    <w:rsid w:val="00451E4C"/>
    <w:rsid w:val="004520F3"/>
    <w:rsid w:val="004527C4"/>
    <w:rsid w:val="00452CCE"/>
    <w:rsid w:val="00452F64"/>
    <w:rsid w:val="004535C5"/>
    <w:rsid w:val="0045378F"/>
    <w:rsid w:val="004538DA"/>
    <w:rsid w:val="004542D6"/>
    <w:rsid w:val="00454FBC"/>
    <w:rsid w:val="004558C1"/>
    <w:rsid w:val="00455A49"/>
    <w:rsid w:val="0045608F"/>
    <w:rsid w:val="00456147"/>
    <w:rsid w:val="004563B8"/>
    <w:rsid w:val="00456E85"/>
    <w:rsid w:val="004573E3"/>
    <w:rsid w:val="004579FF"/>
    <w:rsid w:val="00457A44"/>
    <w:rsid w:val="00457BD6"/>
    <w:rsid w:val="00460101"/>
    <w:rsid w:val="0046026B"/>
    <w:rsid w:val="004603FD"/>
    <w:rsid w:val="00460507"/>
    <w:rsid w:val="00460E52"/>
    <w:rsid w:val="0046169F"/>
    <w:rsid w:val="00461708"/>
    <w:rsid w:val="004626EA"/>
    <w:rsid w:val="00462BA5"/>
    <w:rsid w:val="00463145"/>
    <w:rsid w:val="004636E1"/>
    <w:rsid w:val="00463BC7"/>
    <w:rsid w:val="00464009"/>
    <w:rsid w:val="00464358"/>
    <w:rsid w:val="004643D8"/>
    <w:rsid w:val="00464595"/>
    <w:rsid w:val="004645F5"/>
    <w:rsid w:val="00465534"/>
    <w:rsid w:val="00466680"/>
    <w:rsid w:val="00466846"/>
    <w:rsid w:val="004668FE"/>
    <w:rsid w:val="00466C42"/>
    <w:rsid w:val="0046776C"/>
    <w:rsid w:val="004677B9"/>
    <w:rsid w:val="004679A5"/>
    <w:rsid w:val="00470FD7"/>
    <w:rsid w:val="0047135C"/>
    <w:rsid w:val="00471679"/>
    <w:rsid w:val="00471A04"/>
    <w:rsid w:val="00471A99"/>
    <w:rsid w:val="00471AF9"/>
    <w:rsid w:val="00471D9D"/>
    <w:rsid w:val="00472A75"/>
    <w:rsid w:val="0047368D"/>
    <w:rsid w:val="004743CC"/>
    <w:rsid w:val="004749CA"/>
    <w:rsid w:val="00475AA5"/>
    <w:rsid w:val="0047724A"/>
    <w:rsid w:val="004776BA"/>
    <w:rsid w:val="00477752"/>
    <w:rsid w:val="004800D4"/>
    <w:rsid w:val="0048086C"/>
    <w:rsid w:val="00480E77"/>
    <w:rsid w:val="00481AD3"/>
    <w:rsid w:val="00482394"/>
    <w:rsid w:val="00482395"/>
    <w:rsid w:val="00482478"/>
    <w:rsid w:val="00482AD7"/>
    <w:rsid w:val="00482DEC"/>
    <w:rsid w:val="004831DF"/>
    <w:rsid w:val="00483871"/>
    <w:rsid w:val="00484239"/>
    <w:rsid w:val="00484E3F"/>
    <w:rsid w:val="004854AA"/>
    <w:rsid w:val="00485537"/>
    <w:rsid w:val="004857C1"/>
    <w:rsid w:val="00485BCF"/>
    <w:rsid w:val="00485F16"/>
    <w:rsid w:val="00486A92"/>
    <w:rsid w:val="00486DC7"/>
    <w:rsid w:val="00487F37"/>
    <w:rsid w:val="0049127C"/>
    <w:rsid w:val="00491645"/>
    <w:rsid w:val="00491797"/>
    <w:rsid w:val="00491E9A"/>
    <w:rsid w:val="00492871"/>
    <w:rsid w:val="00492A7D"/>
    <w:rsid w:val="00492B9B"/>
    <w:rsid w:val="0049344B"/>
    <w:rsid w:val="00493EE5"/>
    <w:rsid w:val="00494427"/>
    <w:rsid w:val="00494468"/>
    <w:rsid w:val="004946F0"/>
    <w:rsid w:val="0049493E"/>
    <w:rsid w:val="00494FA5"/>
    <w:rsid w:val="004953DE"/>
    <w:rsid w:val="00496236"/>
    <w:rsid w:val="00496DEA"/>
    <w:rsid w:val="00497129"/>
    <w:rsid w:val="00497185"/>
    <w:rsid w:val="004A0776"/>
    <w:rsid w:val="004A1006"/>
    <w:rsid w:val="004A1253"/>
    <w:rsid w:val="004A15DF"/>
    <w:rsid w:val="004A16E8"/>
    <w:rsid w:val="004A2276"/>
    <w:rsid w:val="004A3E0B"/>
    <w:rsid w:val="004A408C"/>
    <w:rsid w:val="004A4332"/>
    <w:rsid w:val="004A48B9"/>
    <w:rsid w:val="004A497C"/>
    <w:rsid w:val="004A57EA"/>
    <w:rsid w:val="004A6290"/>
    <w:rsid w:val="004A6676"/>
    <w:rsid w:val="004A68BF"/>
    <w:rsid w:val="004A78F7"/>
    <w:rsid w:val="004B0137"/>
    <w:rsid w:val="004B0256"/>
    <w:rsid w:val="004B049D"/>
    <w:rsid w:val="004B06F7"/>
    <w:rsid w:val="004B0E01"/>
    <w:rsid w:val="004B12AF"/>
    <w:rsid w:val="004B13A8"/>
    <w:rsid w:val="004B1F8B"/>
    <w:rsid w:val="004B2659"/>
    <w:rsid w:val="004B2887"/>
    <w:rsid w:val="004B28FA"/>
    <w:rsid w:val="004B2BC2"/>
    <w:rsid w:val="004B31D1"/>
    <w:rsid w:val="004B3EF5"/>
    <w:rsid w:val="004B4596"/>
    <w:rsid w:val="004B5272"/>
    <w:rsid w:val="004B5534"/>
    <w:rsid w:val="004B5C8A"/>
    <w:rsid w:val="004B65D4"/>
    <w:rsid w:val="004B6D65"/>
    <w:rsid w:val="004B7545"/>
    <w:rsid w:val="004B7A64"/>
    <w:rsid w:val="004B7E87"/>
    <w:rsid w:val="004C02F4"/>
    <w:rsid w:val="004C054F"/>
    <w:rsid w:val="004C0936"/>
    <w:rsid w:val="004C0F65"/>
    <w:rsid w:val="004C17DD"/>
    <w:rsid w:val="004C2635"/>
    <w:rsid w:val="004C2E68"/>
    <w:rsid w:val="004C5506"/>
    <w:rsid w:val="004C5AE3"/>
    <w:rsid w:val="004C685E"/>
    <w:rsid w:val="004C6923"/>
    <w:rsid w:val="004C6A63"/>
    <w:rsid w:val="004C6D93"/>
    <w:rsid w:val="004C73ED"/>
    <w:rsid w:val="004D04BC"/>
    <w:rsid w:val="004D272F"/>
    <w:rsid w:val="004D2750"/>
    <w:rsid w:val="004D313E"/>
    <w:rsid w:val="004D59B4"/>
    <w:rsid w:val="004D5BC9"/>
    <w:rsid w:val="004D5D63"/>
    <w:rsid w:val="004D67BA"/>
    <w:rsid w:val="004D69CB"/>
    <w:rsid w:val="004D737A"/>
    <w:rsid w:val="004E020E"/>
    <w:rsid w:val="004E0652"/>
    <w:rsid w:val="004E0C5F"/>
    <w:rsid w:val="004E0DB6"/>
    <w:rsid w:val="004E0F94"/>
    <w:rsid w:val="004E1335"/>
    <w:rsid w:val="004E14DF"/>
    <w:rsid w:val="004E17A0"/>
    <w:rsid w:val="004E1AA8"/>
    <w:rsid w:val="004E1BC4"/>
    <w:rsid w:val="004E3C37"/>
    <w:rsid w:val="004E3CC6"/>
    <w:rsid w:val="004E3E0E"/>
    <w:rsid w:val="004E3E49"/>
    <w:rsid w:val="004E3E6C"/>
    <w:rsid w:val="004E3F47"/>
    <w:rsid w:val="004E4407"/>
    <w:rsid w:val="004E472F"/>
    <w:rsid w:val="004E4B91"/>
    <w:rsid w:val="004E4DA9"/>
    <w:rsid w:val="004E5111"/>
    <w:rsid w:val="004E532C"/>
    <w:rsid w:val="004E5F84"/>
    <w:rsid w:val="004E6A24"/>
    <w:rsid w:val="004E724E"/>
    <w:rsid w:val="004E7DAF"/>
    <w:rsid w:val="004E7F13"/>
    <w:rsid w:val="004E7FC2"/>
    <w:rsid w:val="004E7FC9"/>
    <w:rsid w:val="004F0458"/>
    <w:rsid w:val="004F0514"/>
    <w:rsid w:val="004F1CA6"/>
    <w:rsid w:val="004F2A96"/>
    <w:rsid w:val="004F321C"/>
    <w:rsid w:val="004F411A"/>
    <w:rsid w:val="004F47C7"/>
    <w:rsid w:val="004F4FD3"/>
    <w:rsid w:val="004F5B1C"/>
    <w:rsid w:val="004F5CE3"/>
    <w:rsid w:val="004F5F7D"/>
    <w:rsid w:val="004F5FDC"/>
    <w:rsid w:val="004F62FE"/>
    <w:rsid w:val="004F6923"/>
    <w:rsid w:val="004F7208"/>
    <w:rsid w:val="00500027"/>
    <w:rsid w:val="005008BD"/>
    <w:rsid w:val="005016E6"/>
    <w:rsid w:val="0050399A"/>
    <w:rsid w:val="00504C63"/>
    <w:rsid w:val="005053F6"/>
    <w:rsid w:val="00506784"/>
    <w:rsid w:val="00507510"/>
    <w:rsid w:val="0050757F"/>
    <w:rsid w:val="00507E72"/>
    <w:rsid w:val="00510B04"/>
    <w:rsid w:val="00511211"/>
    <w:rsid w:val="00511324"/>
    <w:rsid w:val="00511864"/>
    <w:rsid w:val="00511BDE"/>
    <w:rsid w:val="00511E81"/>
    <w:rsid w:val="005130DA"/>
    <w:rsid w:val="00513A83"/>
    <w:rsid w:val="00513D07"/>
    <w:rsid w:val="0051463B"/>
    <w:rsid w:val="005157AF"/>
    <w:rsid w:val="005158CB"/>
    <w:rsid w:val="00515A39"/>
    <w:rsid w:val="00515CB1"/>
    <w:rsid w:val="00515EBA"/>
    <w:rsid w:val="0051668A"/>
    <w:rsid w:val="005168C3"/>
    <w:rsid w:val="00517113"/>
    <w:rsid w:val="005200EB"/>
    <w:rsid w:val="0052012A"/>
    <w:rsid w:val="00520290"/>
    <w:rsid w:val="00520433"/>
    <w:rsid w:val="00520437"/>
    <w:rsid w:val="0052060F"/>
    <w:rsid w:val="00520A25"/>
    <w:rsid w:val="00520E98"/>
    <w:rsid w:val="00521179"/>
    <w:rsid w:val="00521BEF"/>
    <w:rsid w:val="00522016"/>
    <w:rsid w:val="005225A9"/>
    <w:rsid w:val="005226A9"/>
    <w:rsid w:val="0052282B"/>
    <w:rsid w:val="005238DC"/>
    <w:rsid w:val="00523A91"/>
    <w:rsid w:val="00523B85"/>
    <w:rsid w:val="00524DFB"/>
    <w:rsid w:val="00525206"/>
    <w:rsid w:val="0052526F"/>
    <w:rsid w:val="00525413"/>
    <w:rsid w:val="005266EC"/>
    <w:rsid w:val="00526DB2"/>
    <w:rsid w:val="00527F24"/>
    <w:rsid w:val="00530265"/>
    <w:rsid w:val="0053076B"/>
    <w:rsid w:val="00530C42"/>
    <w:rsid w:val="00530F37"/>
    <w:rsid w:val="00530F57"/>
    <w:rsid w:val="005317DC"/>
    <w:rsid w:val="00531955"/>
    <w:rsid w:val="00531A35"/>
    <w:rsid w:val="00531EDF"/>
    <w:rsid w:val="00532327"/>
    <w:rsid w:val="00533456"/>
    <w:rsid w:val="00533599"/>
    <w:rsid w:val="005351DB"/>
    <w:rsid w:val="00535592"/>
    <w:rsid w:val="0053576C"/>
    <w:rsid w:val="005365C1"/>
    <w:rsid w:val="00536BB1"/>
    <w:rsid w:val="00536D79"/>
    <w:rsid w:val="00536EA6"/>
    <w:rsid w:val="005404D9"/>
    <w:rsid w:val="0054102B"/>
    <w:rsid w:val="005410F3"/>
    <w:rsid w:val="00542334"/>
    <w:rsid w:val="00542E45"/>
    <w:rsid w:val="005439FC"/>
    <w:rsid w:val="00543C87"/>
    <w:rsid w:val="00543CDE"/>
    <w:rsid w:val="0054410F"/>
    <w:rsid w:val="005441E5"/>
    <w:rsid w:val="005442B7"/>
    <w:rsid w:val="00544819"/>
    <w:rsid w:val="00544A37"/>
    <w:rsid w:val="00544DD2"/>
    <w:rsid w:val="005451DA"/>
    <w:rsid w:val="00545975"/>
    <w:rsid w:val="0054695E"/>
    <w:rsid w:val="00546B67"/>
    <w:rsid w:val="00546C7C"/>
    <w:rsid w:val="00546CD1"/>
    <w:rsid w:val="00550083"/>
    <w:rsid w:val="00550781"/>
    <w:rsid w:val="00550C76"/>
    <w:rsid w:val="00550F74"/>
    <w:rsid w:val="005517EB"/>
    <w:rsid w:val="00551ECF"/>
    <w:rsid w:val="00552D6E"/>
    <w:rsid w:val="0055561A"/>
    <w:rsid w:val="00555634"/>
    <w:rsid w:val="00555836"/>
    <w:rsid w:val="00555DC9"/>
    <w:rsid w:val="00556436"/>
    <w:rsid w:val="00557811"/>
    <w:rsid w:val="0056011E"/>
    <w:rsid w:val="00561FCF"/>
    <w:rsid w:val="00562568"/>
    <w:rsid w:val="00563249"/>
    <w:rsid w:val="00563516"/>
    <w:rsid w:val="005638F7"/>
    <w:rsid w:val="00563E68"/>
    <w:rsid w:val="0056409A"/>
    <w:rsid w:val="005642E4"/>
    <w:rsid w:val="0056430C"/>
    <w:rsid w:val="0056436E"/>
    <w:rsid w:val="005647A3"/>
    <w:rsid w:val="00564B48"/>
    <w:rsid w:val="0056541D"/>
    <w:rsid w:val="005656AD"/>
    <w:rsid w:val="005663F6"/>
    <w:rsid w:val="00566986"/>
    <w:rsid w:val="00566C9D"/>
    <w:rsid w:val="00567147"/>
    <w:rsid w:val="00567272"/>
    <w:rsid w:val="00567757"/>
    <w:rsid w:val="0056799C"/>
    <w:rsid w:val="005679C8"/>
    <w:rsid w:val="00567C07"/>
    <w:rsid w:val="00571E2A"/>
    <w:rsid w:val="00572BA6"/>
    <w:rsid w:val="00573081"/>
    <w:rsid w:val="005732CC"/>
    <w:rsid w:val="0057369C"/>
    <w:rsid w:val="00573DB3"/>
    <w:rsid w:val="00573EB7"/>
    <w:rsid w:val="005741AA"/>
    <w:rsid w:val="00574503"/>
    <w:rsid w:val="00574561"/>
    <w:rsid w:val="0057460A"/>
    <w:rsid w:val="005746BC"/>
    <w:rsid w:val="00574EDB"/>
    <w:rsid w:val="00574F43"/>
    <w:rsid w:val="0057599B"/>
    <w:rsid w:val="00576559"/>
    <w:rsid w:val="005765C4"/>
    <w:rsid w:val="00577E8B"/>
    <w:rsid w:val="0058063B"/>
    <w:rsid w:val="00580C52"/>
    <w:rsid w:val="00581150"/>
    <w:rsid w:val="00581BE4"/>
    <w:rsid w:val="00581E7D"/>
    <w:rsid w:val="0058260A"/>
    <w:rsid w:val="00582D1E"/>
    <w:rsid w:val="005845EA"/>
    <w:rsid w:val="00584810"/>
    <w:rsid w:val="00584B72"/>
    <w:rsid w:val="00584F95"/>
    <w:rsid w:val="005859B3"/>
    <w:rsid w:val="00585A95"/>
    <w:rsid w:val="00585F0A"/>
    <w:rsid w:val="00586634"/>
    <w:rsid w:val="005875A2"/>
    <w:rsid w:val="00587750"/>
    <w:rsid w:val="00587A63"/>
    <w:rsid w:val="00590970"/>
    <w:rsid w:val="0059256A"/>
    <w:rsid w:val="005926EC"/>
    <w:rsid w:val="00592D10"/>
    <w:rsid w:val="005942F3"/>
    <w:rsid w:val="00594A1C"/>
    <w:rsid w:val="00596D54"/>
    <w:rsid w:val="00597593"/>
    <w:rsid w:val="00597E8E"/>
    <w:rsid w:val="005A0CC4"/>
    <w:rsid w:val="005A0F35"/>
    <w:rsid w:val="005A1069"/>
    <w:rsid w:val="005A1304"/>
    <w:rsid w:val="005A16C2"/>
    <w:rsid w:val="005A2101"/>
    <w:rsid w:val="005A221A"/>
    <w:rsid w:val="005A25F4"/>
    <w:rsid w:val="005A2931"/>
    <w:rsid w:val="005A2BDE"/>
    <w:rsid w:val="005A3298"/>
    <w:rsid w:val="005A3C6A"/>
    <w:rsid w:val="005A4AA6"/>
    <w:rsid w:val="005A68F2"/>
    <w:rsid w:val="005A6EB7"/>
    <w:rsid w:val="005A7608"/>
    <w:rsid w:val="005A76B4"/>
    <w:rsid w:val="005A79CD"/>
    <w:rsid w:val="005B0A28"/>
    <w:rsid w:val="005B0CC8"/>
    <w:rsid w:val="005B0EAA"/>
    <w:rsid w:val="005B10C3"/>
    <w:rsid w:val="005B167A"/>
    <w:rsid w:val="005B1803"/>
    <w:rsid w:val="005B18C3"/>
    <w:rsid w:val="005B2019"/>
    <w:rsid w:val="005B27EF"/>
    <w:rsid w:val="005B33DC"/>
    <w:rsid w:val="005B46FD"/>
    <w:rsid w:val="005B47BF"/>
    <w:rsid w:val="005B5783"/>
    <w:rsid w:val="005B5F64"/>
    <w:rsid w:val="005B64AA"/>
    <w:rsid w:val="005B6E7C"/>
    <w:rsid w:val="005B7129"/>
    <w:rsid w:val="005B77A1"/>
    <w:rsid w:val="005B7DFA"/>
    <w:rsid w:val="005C08BE"/>
    <w:rsid w:val="005C0C02"/>
    <w:rsid w:val="005C1E55"/>
    <w:rsid w:val="005C332A"/>
    <w:rsid w:val="005C37B1"/>
    <w:rsid w:val="005C38E9"/>
    <w:rsid w:val="005C48C1"/>
    <w:rsid w:val="005C49B1"/>
    <w:rsid w:val="005C51F5"/>
    <w:rsid w:val="005C5671"/>
    <w:rsid w:val="005C6A18"/>
    <w:rsid w:val="005C72B0"/>
    <w:rsid w:val="005C7E88"/>
    <w:rsid w:val="005D0561"/>
    <w:rsid w:val="005D137B"/>
    <w:rsid w:val="005D14E6"/>
    <w:rsid w:val="005D2055"/>
    <w:rsid w:val="005D2350"/>
    <w:rsid w:val="005D2B24"/>
    <w:rsid w:val="005D2B2C"/>
    <w:rsid w:val="005D351D"/>
    <w:rsid w:val="005D394A"/>
    <w:rsid w:val="005D394D"/>
    <w:rsid w:val="005D3BF4"/>
    <w:rsid w:val="005D3EA5"/>
    <w:rsid w:val="005D3EF7"/>
    <w:rsid w:val="005D40BC"/>
    <w:rsid w:val="005D5B5A"/>
    <w:rsid w:val="005D65B5"/>
    <w:rsid w:val="005D6AF0"/>
    <w:rsid w:val="005D70AE"/>
    <w:rsid w:val="005E03A4"/>
    <w:rsid w:val="005E0634"/>
    <w:rsid w:val="005E06BF"/>
    <w:rsid w:val="005E1045"/>
    <w:rsid w:val="005E1265"/>
    <w:rsid w:val="005E1495"/>
    <w:rsid w:val="005E1B5E"/>
    <w:rsid w:val="005E1C22"/>
    <w:rsid w:val="005E24F6"/>
    <w:rsid w:val="005E28B1"/>
    <w:rsid w:val="005E2F77"/>
    <w:rsid w:val="005E328C"/>
    <w:rsid w:val="005E3A7C"/>
    <w:rsid w:val="005E3ADD"/>
    <w:rsid w:val="005E438B"/>
    <w:rsid w:val="005E466C"/>
    <w:rsid w:val="005E56E4"/>
    <w:rsid w:val="005E5707"/>
    <w:rsid w:val="005E634F"/>
    <w:rsid w:val="005E6E26"/>
    <w:rsid w:val="005E72E4"/>
    <w:rsid w:val="005F24D4"/>
    <w:rsid w:val="005F2677"/>
    <w:rsid w:val="005F2BD8"/>
    <w:rsid w:val="005F2D96"/>
    <w:rsid w:val="005F2DB8"/>
    <w:rsid w:val="005F3501"/>
    <w:rsid w:val="005F4AA6"/>
    <w:rsid w:val="005F4FCC"/>
    <w:rsid w:val="005F65CF"/>
    <w:rsid w:val="005F6CC2"/>
    <w:rsid w:val="005F6CDB"/>
    <w:rsid w:val="005F719C"/>
    <w:rsid w:val="005F720F"/>
    <w:rsid w:val="0060012E"/>
    <w:rsid w:val="00601D01"/>
    <w:rsid w:val="00602306"/>
    <w:rsid w:val="00602918"/>
    <w:rsid w:val="00603239"/>
    <w:rsid w:val="0060331D"/>
    <w:rsid w:val="00603635"/>
    <w:rsid w:val="006053E2"/>
    <w:rsid w:val="00605728"/>
    <w:rsid w:val="00605E69"/>
    <w:rsid w:val="00605FB6"/>
    <w:rsid w:val="00606DF5"/>
    <w:rsid w:val="00607CAE"/>
    <w:rsid w:val="0061078F"/>
    <w:rsid w:val="006110BC"/>
    <w:rsid w:val="00611B6C"/>
    <w:rsid w:val="00611ED8"/>
    <w:rsid w:val="00612BD5"/>
    <w:rsid w:val="00612F79"/>
    <w:rsid w:val="00615159"/>
    <w:rsid w:val="006152C3"/>
    <w:rsid w:val="0061632E"/>
    <w:rsid w:val="0061778F"/>
    <w:rsid w:val="00617A17"/>
    <w:rsid w:val="006202EF"/>
    <w:rsid w:val="0062053B"/>
    <w:rsid w:val="00620895"/>
    <w:rsid w:val="00620FBB"/>
    <w:rsid w:val="00621690"/>
    <w:rsid w:val="00621C12"/>
    <w:rsid w:val="006222D4"/>
    <w:rsid w:val="0062304C"/>
    <w:rsid w:val="006230B7"/>
    <w:rsid w:val="006230CD"/>
    <w:rsid w:val="00623552"/>
    <w:rsid w:val="00623CD9"/>
    <w:rsid w:val="00624535"/>
    <w:rsid w:val="006247E5"/>
    <w:rsid w:val="00624BCD"/>
    <w:rsid w:val="00624FC9"/>
    <w:rsid w:val="00625381"/>
    <w:rsid w:val="006258E7"/>
    <w:rsid w:val="00625C16"/>
    <w:rsid w:val="0063002A"/>
    <w:rsid w:val="006302DE"/>
    <w:rsid w:val="00630AFB"/>
    <w:rsid w:val="00630F7B"/>
    <w:rsid w:val="006317B8"/>
    <w:rsid w:val="00631A01"/>
    <w:rsid w:val="00631ED4"/>
    <w:rsid w:val="00634CF7"/>
    <w:rsid w:val="00635CA9"/>
    <w:rsid w:val="00635E4E"/>
    <w:rsid w:val="0063690A"/>
    <w:rsid w:val="00636BE0"/>
    <w:rsid w:val="00636E1B"/>
    <w:rsid w:val="006371DF"/>
    <w:rsid w:val="006375CD"/>
    <w:rsid w:val="00637A3E"/>
    <w:rsid w:val="00640542"/>
    <w:rsid w:val="00640CEA"/>
    <w:rsid w:val="00641AA7"/>
    <w:rsid w:val="00641F6D"/>
    <w:rsid w:val="00642670"/>
    <w:rsid w:val="0064285E"/>
    <w:rsid w:val="00642C08"/>
    <w:rsid w:val="0064344A"/>
    <w:rsid w:val="00644FCA"/>
    <w:rsid w:val="00645624"/>
    <w:rsid w:val="00645843"/>
    <w:rsid w:val="00646081"/>
    <w:rsid w:val="00646C6E"/>
    <w:rsid w:val="00646C84"/>
    <w:rsid w:val="006477C3"/>
    <w:rsid w:val="0064797E"/>
    <w:rsid w:val="00647CFE"/>
    <w:rsid w:val="00650E08"/>
    <w:rsid w:val="00650E6C"/>
    <w:rsid w:val="00651C82"/>
    <w:rsid w:val="00652376"/>
    <w:rsid w:val="00652912"/>
    <w:rsid w:val="006531ED"/>
    <w:rsid w:val="0065322C"/>
    <w:rsid w:val="00653966"/>
    <w:rsid w:val="00653B37"/>
    <w:rsid w:val="00653C7B"/>
    <w:rsid w:val="0065418D"/>
    <w:rsid w:val="00655691"/>
    <w:rsid w:val="006556A7"/>
    <w:rsid w:val="006557EA"/>
    <w:rsid w:val="00655B0C"/>
    <w:rsid w:val="00655C39"/>
    <w:rsid w:val="006566CE"/>
    <w:rsid w:val="00656E18"/>
    <w:rsid w:val="00657735"/>
    <w:rsid w:val="00660B53"/>
    <w:rsid w:val="00660E77"/>
    <w:rsid w:val="0066101F"/>
    <w:rsid w:val="00662714"/>
    <w:rsid w:val="00662FBD"/>
    <w:rsid w:val="006635E7"/>
    <w:rsid w:val="00663D14"/>
    <w:rsid w:val="006643EF"/>
    <w:rsid w:val="00664F27"/>
    <w:rsid w:val="006653FE"/>
    <w:rsid w:val="00667EDD"/>
    <w:rsid w:val="00670849"/>
    <w:rsid w:val="00670A1E"/>
    <w:rsid w:val="00670CFC"/>
    <w:rsid w:val="00671816"/>
    <w:rsid w:val="006729E2"/>
    <w:rsid w:val="00672CD0"/>
    <w:rsid w:val="00673229"/>
    <w:rsid w:val="00673291"/>
    <w:rsid w:val="0067343D"/>
    <w:rsid w:val="006740D8"/>
    <w:rsid w:val="0067410F"/>
    <w:rsid w:val="00674646"/>
    <w:rsid w:val="0067493F"/>
    <w:rsid w:val="00674D16"/>
    <w:rsid w:val="0067637D"/>
    <w:rsid w:val="006763A0"/>
    <w:rsid w:val="00676B62"/>
    <w:rsid w:val="00676EE3"/>
    <w:rsid w:val="006779C6"/>
    <w:rsid w:val="006805FB"/>
    <w:rsid w:val="0068088B"/>
    <w:rsid w:val="00680A87"/>
    <w:rsid w:val="00680DC5"/>
    <w:rsid w:val="00681FA6"/>
    <w:rsid w:val="006822E2"/>
    <w:rsid w:val="00683575"/>
    <w:rsid w:val="00683636"/>
    <w:rsid w:val="0068398D"/>
    <w:rsid w:val="00683E06"/>
    <w:rsid w:val="00684074"/>
    <w:rsid w:val="006843AB"/>
    <w:rsid w:val="0068495D"/>
    <w:rsid w:val="00684C53"/>
    <w:rsid w:val="0068517B"/>
    <w:rsid w:val="00685D8F"/>
    <w:rsid w:val="00686FC9"/>
    <w:rsid w:val="00687771"/>
    <w:rsid w:val="00687ACC"/>
    <w:rsid w:val="00690034"/>
    <w:rsid w:val="0069051C"/>
    <w:rsid w:val="00691B9D"/>
    <w:rsid w:val="006920F2"/>
    <w:rsid w:val="006930A7"/>
    <w:rsid w:val="006934E5"/>
    <w:rsid w:val="00693CF0"/>
    <w:rsid w:val="006942C5"/>
    <w:rsid w:val="0069515F"/>
    <w:rsid w:val="006954E8"/>
    <w:rsid w:val="00696A78"/>
    <w:rsid w:val="00696CC5"/>
    <w:rsid w:val="006A0BB7"/>
    <w:rsid w:val="006A1060"/>
    <w:rsid w:val="006A15D8"/>
    <w:rsid w:val="006A209C"/>
    <w:rsid w:val="006A36E2"/>
    <w:rsid w:val="006A3C24"/>
    <w:rsid w:val="006A4200"/>
    <w:rsid w:val="006A463E"/>
    <w:rsid w:val="006A4F5D"/>
    <w:rsid w:val="006A5352"/>
    <w:rsid w:val="006A5C09"/>
    <w:rsid w:val="006A5FE5"/>
    <w:rsid w:val="006A637B"/>
    <w:rsid w:val="006A676A"/>
    <w:rsid w:val="006A6A8D"/>
    <w:rsid w:val="006A780B"/>
    <w:rsid w:val="006A7968"/>
    <w:rsid w:val="006A7C89"/>
    <w:rsid w:val="006A7F81"/>
    <w:rsid w:val="006B07FA"/>
    <w:rsid w:val="006B09E1"/>
    <w:rsid w:val="006B120D"/>
    <w:rsid w:val="006B1AF3"/>
    <w:rsid w:val="006B241B"/>
    <w:rsid w:val="006B32E7"/>
    <w:rsid w:val="006B3BF0"/>
    <w:rsid w:val="006B3CE4"/>
    <w:rsid w:val="006B45BA"/>
    <w:rsid w:val="006B4777"/>
    <w:rsid w:val="006B500D"/>
    <w:rsid w:val="006B5F74"/>
    <w:rsid w:val="006B78EB"/>
    <w:rsid w:val="006B794C"/>
    <w:rsid w:val="006C00DA"/>
    <w:rsid w:val="006C0733"/>
    <w:rsid w:val="006C0B59"/>
    <w:rsid w:val="006C0CE8"/>
    <w:rsid w:val="006C1595"/>
    <w:rsid w:val="006C191F"/>
    <w:rsid w:val="006C2869"/>
    <w:rsid w:val="006C2CC8"/>
    <w:rsid w:val="006C2E91"/>
    <w:rsid w:val="006C3903"/>
    <w:rsid w:val="006C3A6D"/>
    <w:rsid w:val="006C3FEE"/>
    <w:rsid w:val="006C4100"/>
    <w:rsid w:val="006C4FF6"/>
    <w:rsid w:val="006C5856"/>
    <w:rsid w:val="006C5BDC"/>
    <w:rsid w:val="006C719D"/>
    <w:rsid w:val="006D0E32"/>
    <w:rsid w:val="006D168E"/>
    <w:rsid w:val="006D1B21"/>
    <w:rsid w:val="006D239D"/>
    <w:rsid w:val="006D2913"/>
    <w:rsid w:val="006D2FD2"/>
    <w:rsid w:val="006D3481"/>
    <w:rsid w:val="006D3769"/>
    <w:rsid w:val="006D3BB8"/>
    <w:rsid w:val="006D4892"/>
    <w:rsid w:val="006D4B87"/>
    <w:rsid w:val="006D5FD1"/>
    <w:rsid w:val="006D6367"/>
    <w:rsid w:val="006D685A"/>
    <w:rsid w:val="006D6DA0"/>
    <w:rsid w:val="006D7C87"/>
    <w:rsid w:val="006E0942"/>
    <w:rsid w:val="006E0B99"/>
    <w:rsid w:val="006E1296"/>
    <w:rsid w:val="006E174F"/>
    <w:rsid w:val="006E2961"/>
    <w:rsid w:val="006E2DF1"/>
    <w:rsid w:val="006E346B"/>
    <w:rsid w:val="006E5A15"/>
    <w:rsid w:val="006E5F9D"/>
    <w:rsid w:val="006E622F"/>
    <w:rsid w:val="006E682B"/>
    <w:rsid w:val="006E6D6E"/>
    <w:rsid w:val="006E6DC2"/>
    <w:rsid w:val="006E71D2"/>
    <w:rsid w:val="006E7264"/>
    <w:rsid w:val="006E73E6"/>
    <w:rsid w:val="006E7A88"/>
    <w:rsid w:val="006E7B2C"/>
    <w:rsid w:val="006F00A9"/>
    <w:rsid w:val="006F04ED"/>
    <w:rsid w:val="006F0B7A"/>
    <w:rsid w:val="006F1850"/>
    <w:rsid w:val="006F2313"/>
    <w:rsid w:val="006F23DD"/>
    <w:rsid w:val="006F2D32"/>
    <w:rsid w:val="006F33F0"/>
    <w:rsid w:val="006F35DF"/>
    <w:rsid w:val="006F39FD"/>
    <w:rsid w:val="006F3B35"/>
    <w:rsid w:val="006F3B93"/>
    <w:rsid w:val="006F409C"/>
    <w:rsid w:val="006F4162"/>
    <w:rsid w:val="006F468D"/>
    <w:rsid w:val="006F4F3C"/>
    <w:rsid w:val="006F5266"/>
    <w:rsid w:val="006F5C6B"/>
    <w:rsid w:val="006F5C70"/>
    <w:rsid w:val="006F6F0C"/>
    <w:rsid w:val="006F765F"/>
    <w:rsid w:val="006F7FF8"/>
    <w:rsid w:val="007006C2"/>
    <w:rsid w:val="007008AC"/>
    <w:rsid w:val="00702683"/>
    <w:rsid w:val="00702D1A"/>
    <w:rsid w:val="00703CE1"/>
    <w:rsid w:val="00703EE7"/>
    <w:rsid w:val="00704010"/>
    <w:rsid w:val="00705A02"/>
    <w:rsid w:val="00705E30"/>
    <w:rsid w:val="0070668D"/>
    <w:rsid w:val="00706773"/>
    <w:rsid w:val="00706D40"/>
    <w:rsid w:val="00706FCC"/>
    <w:rsid w:val="00707450"/>
    <w:rsid w:val="00707BBA"/>
    <w:rsid w:val="00707CBE"/>
    <w:rsid w:val="00707E46"/>
    <w:rsid w:val="00710036"/>
    <w:rsid w:val="007107D4"/>
    <w:rsid w:val="00710DD8"/>
    <w:rsid w:val="00711426"/>
    <w:rsid w:val="0071142F"/>
    <w:rsid w:val="0071176F"/>
    <w:rsid w:val="0071217A"/>
    <w:rsid w:val="0071283B"/>
    <w:rsid w:val="00712994"/>
    <w:rsid w:val="00712CA2"/>
    <w:rsid w:val="00713CD2"/>
    <w:rsid w:val="00713E27"/>
    <w:rsid w:val="007140F5"/>
    <w:rsid w:val="00714366"/>
    <w:rsid w:val="00715C33"/>
    <w:rsid w:val="007161EF"/>
    <w:rsid w:val="00716306"/>
    <w:rsid w:val="0071630B"/>
    <w:rsid w:val="007163ED"/>
    <w:rsid w:val="007166F8"/>
    <w:rsid w:val="007173F2"/>
    <w:rsid w:val="00717A96"/>
    <w:rsid w:val="00717C2F"/>
    <w:rsid w:val="00717F89"/>
    <w:rsid w:val="0072150E"/>
    <w:rsid w:val="007215A8"/>
    <w:rsid w:val="00721C89"/>
    <w:rsid w:val="00722A9E"/>
    <w:rsid w:val="00723377"/>
    <w:rsid w:val="00723437"/>
    <w:rsid w:val="0072381C"/>
    <w:rsid w:val="0072396C"/>
    <w:rsid w:val="00723B2A"/>
    <w:rsid w:val="00724202"/>
    <w:rsid w:val="00724BDE"/>
    <w:rsid w:val="0072505C"/>
    <w:rsid w:val="00725548"/>
    <w:rsid w:val="00725D42"/>
    <w:rsid w:val="007264B6"/>
    <w:rsid w:val="00726558"/>
    <w:rsid w:val="00727525"/>
    <w:rsid w:val="007279DC"/>
    <w:rsid w:val="00727B3B"/>
    <w:rsid w:val="00730907"/>
    <w:rsid w:val="0073124B"/>
    <w:rsid w:val="007316C5"/>
    <w:rsid w:val="00731B31"/>
    <w:rsid w:val="00731BF8"/>
    <w:rsid w:val="00731D5A"/>
    <w:rsid w:val="007330B9"/>
    <w:rsid w:val="007341C6"/>
    <w:rsid w:val="00734C1D"/>
    <w:rsid w:val="00735349"/>
    <w:rsid w:val="00736AFE"/>
    <w:rsid w:val="007377EF"/>
    <w:rsid w:val="00737D28"/>
    <w:rsid w:val="00740CFE"/>
    <w:rsid w:val="007412DF"/>
    <w:rsid w:val="0074191F"/>
    <w:rsid w:val="00742673"/>
    <w:rsid w:val="007426A7"/>
    <w:rsid w:val="00744D0E"/>
    <w:rsid w:val="00744F55"/>
    <w:rsid w:val="007450E5"/>
    <w:rsid w:val="007461FD"/>
    <w:rsid w:val="007463D4"/>
    <w:rsid w:val="007476A0"/>
    <w:rsid w:val="00747CF2"/>
    <w:rsid w:val="007501F6"/>
    <w:rsid w:val="0075083C"/>
    <w:rsid w:val="00750F7D"/>
    <w:rsid w:val="00750F95"/>
    <w:rsid w:val="0075103C"/>
    <w:rsid w:val="007512FE"/>
    <w:rsid w:val="00751382"/>
    <w:rsid w:val="00751829"/>
    <w:rsid w:val="00751836"/>
    <w:rsid w:val="00751F65"/>
    <w:rsid w:val="007520B2"/>
    <w:rsid w:val="00752425"/>
    <w:rsid w:val="007525F8"/>
    <w:rsid w:val="00752789"/>
    <w:rsid w:val="007527B2"/>
    <w:rsid w:val="00752864"/>
    <w:rsid w:val="00752EB0"/>
    <w:rsid w:val="0075310C"/>
    <w:rsid w:val="007541CD"/>
    <w:rsid w:val="00754555"/>
    <w:rsid w:val="00754D28"/>
    <w:rsid w:val="00755284"/>
    <w:rsid w:val="007552AB"/>
    <w:rsid w:val="007555E9"/>
    <w:rsid w:val="00755E93"/>
    <w:rsid w:val="00757409"/>
    <w:rsid w:val="00757D45"/>
    <w:rsid w:val="007624E9"/>
    <w:rsid w:val="00762704"/>
    <w:rsid w:val="007629B9"/>
    <w:rsid w:val="00762E0B"/>
    <w:rsid w:val="00763510"/>
    <w:rsid w:val="00763831"/>
    <w:rsid w:val="00763E0D"/>
    <w:rsid w:val="00764292"/>
    <w:rsid w:val="00764BB7"/>
    <w:rsid w:val="00766CD5"/>
    <w:rsid w:val="00766FF2"/>
    <w:rsid w:val="00767728"/>
    <w:rsid w:val="007677C4"/>
    <w:rsid w:val="00767B6A"/>
    <w:rsid w:val="00770865"/>
    <w:rsid w:val="00772E84"/>
    <w:rsid w:val="00773077"/>
    <w:rsid w:val="00773856"/>
    <w:rsid w:val="00773941"/>
    <w:rsid w:val="007739DD"/>
    <w:rsid w:val="00774153"/>
    <w:rsid w:val="007750FC"/>
    <w:rsid w:val="00775851"/>
    <w:rsid w:val="007759DB"/>
    <w:rsid w:val="00776667"/>
    <w:rsid w:val="00776AF2"/>
    <w:rsid w:val="00776B86"/>
    <w:rsid w:val="00777276"/>
    <w:rsid w:val="00777E6B"/>
    <w:rsid w:val="00780617"/>
    <w:rsid w:val="007806D5"/>
    <w:rsid w:val="00780736"/>
    <w:rsid w:val="00780837"/>
    <w:rsid w:val="007815A4"/>
    <w:rsid w:val="007818C6"/>
    <w:rsid w:val="00782411"/>
    <w:rsid w:val="007824E0"/>
    <w:rsid w:val="0078389E"/>
    <w:rsid w:val="007839B7"/>
    <w:rsid w:val="00783BE6"/>
    <w:rsid w:val="00784651"/>
    <w:rsid w:val="00784A60"/>
    <w:rsid w:val="00785210"/>
    <w:rsid w:val="007869D1"/>
    <w:rsid w:val="00790604"/>
    <w:rsid w:val="007907D5"/>
    <w:rsid w:val="00790830"/>
    <w:rsid w:val="00790CEA"/>
    <w:rsid w:val="00791229"/>
    <w:rsid w:val="007924C6"/>
    <w:rsid w:val="00792EE3"/>
    <w:rsid w:val="00793E04"/>
    <w:rsid w:val="00794652"/>
    <w:rsid w:val="00794CD5"/>
    <w:rsid w:val="00794E63"/>
    <w:rsid w:val="00795C72"/>
    <w:rsid w:val="00795DE7"/>
    <w:rsid w:val="00795FED"/>
    <w:rsid w:val="00796526"/>
    <w:rsid w:val="007977BD"/>
    <w:rsid w:val="00797B3C"/>
    <w:rsid w:val="007A0373"/>
    <w:rsid w:val="007A08FA"/>
    <w:rsid w:val="007A0A81"/>
    <w:rsid w:val="007A1018"/>
    <w:rsid w:val="007A1338"/>
    <w:rsid w:val="007A1506"/>
    <w:rsid w:val="007A1DA1"/>
    <w:rsid w:val="007A278A"/>
    <w:rsid w:val="007A330B"/>
    <w:rsid w:val="007A3D3C"/>
    <w:rsid w:val="007A4575"/>
    <w:rsid w:val="007A464C"/>
    <w:rsid w:val="007A4B34"/>
    <w:rsid w:val="007A5252"/>
    <w:rsid w:val="007A5414"/>
    <w:rsid w:val="007A58F2"/>
    <w:rsid w:val="007A5BBF"/>
    <w:rsid w:val="007A5EBE"/>
    <w:rsid w:val="007A64B2"/>
    <w:rsid w:val="007A654C"/>
    <w:rsid w:val="007A6920"/>
    <w:rsid w:val="007A702B"/>
    <w:rsid w:val="007A7967"/>
    <w:rsid w:val="007A79F2"/>
    <w:rsid w:val="007A7D1D"/>
    <w:rsid w:val="007A7F83"/>
    <w:rsid w:val="007B042D"/>
    <w:rsid w:val="007B0598"/>
    <w:rsid w:val="007B05A0"/>
    <w:rsid w:val="007B0BCB"/>
    <w:rsid w:val="007B1F7B"/>
    <w:rsid w:val="007B2021"/>
    <w:rsid w:val="007B233E"/>
    <w:rsid w:val="007B2F16"/>
    <w:rsid w:val="007B3861"/>
    <w:rsid w:val="007B41BD"/>
    <w:rsid w:val="007B4341"/>
    <w:rsid w:val="007B4F6B"/>
    <w:rsid w:val="007B5567"/>
    <w:rsid w:val="007B5BEE"/>
    <w:rsid w:val="007B60AA"/>
    <w:rsid w:val="007B6197"/>
    <w:rsid w:val="007B61DC"/>
    <w:rsid w:val="007B6341"/>
    <w:rsid w:val="007B64AB"/>
    <w:rsid w:val="007B6910"/>
    <w:rsid w:val="007B70C3"/>
    <w:rsid w:val="007B7901"/>
    <w:rsid w:val="007C0BA2"/>
    <w:rsid w:val="007C0EFA"/>
    <w:rsid w:val="007C1959"/>
    <w:rsid w:val="007C26CE"/>
    <w:rsid w:val="007C3C67"/>
    <w:rsid w:val="007C3DBC"/>
    <w:rsid w:val="007C4CB8"/>
    <w:rsid w:val="007C5943"/>
    <w:rsid w:val="007C6603"/>
    <w:rsid w:val="007C6810"/>
    <w:rsid w:val="007C6825"/>
    <w:rsid w:val="007C6F92"/>
    <w:rsid w:val="007C76F6"/>
    <w:rsid w:val="007D07FE"/>
    <w:rsid w:val="007D0A6B"/>
    <w:rsid w:val="007D0F8F"/>
    <w:rsid w:val="007D1816"/>
    <w:rsid w:val="007D2DAA"/>
    <w:rsid w:val="007D3A68"/>
    <w:rsid w:val="007D3F12"/>
    <w:rsid w:val="007D4CB9"/>
    <w:rsid w:val="007D4F1D"/>
    <w:rsid w:val="007D50E7"/>
    <w:rsid w:val="007D52E7"/>
    <w:rsid w:val="007D5600"/>
    <w:rsid w:val="007D562F"/>
    <w:rsid w:val="007D5A72"/>
    <w:rsid w:val="007D5DAB"/>
    <w:rsid w:val="007D5EDD"/>
    <w:rsid w:val="007D6041"/>
    <w:rsid w:val="007D62F0"/>
    <w:rsid w:val="007D6A81"/>
    <w:rsid w:val="007D6E17"/>
    <w:rsid w:val="007D77CE"/>
    <w:rsid w:val="007D7F19"/>
    <w:rsid w:val="007D7F52"/>
    <w:rsid w:val="007E129C"/>
    <w:rsid w:val="007E134D"/>
    <w:rsid w:val="007E1D2E"/>
    <w:rsid w:val="007E21C9"/>
    <w:rsid w:val="007E23DA"/>
    <w:rsid w:val="007E2A9B"/>
    <w:rsid w:val="007E38F0"/>
    <w:rsid w:val="007E3D18"/>
    <w:rsid w:val="007E406C"/>
    <w:rsid w:val="007E447F"/>
    <w:rsid w:val="007E4573"/>
    <w:rsid w:val="007E5C04"/>
    <w:rsid w:val="007E62DC"/>
    <w:rsid w:val="007E6E7D"/>
    <w:rsid w:val="007E7394"/>
    <w:rsid w:val="007E7435"/>
    <w:rsid w:val="007E7A7B"/>
    <w:rsid w:val="007E7B27"/>
    <w:rsid w:val="007F01C9"/>
    <w:rsid w:val="007F0A8E"/>
    <w:rsid w:val="007F1DE1"/>
    <w:rsid w:val="007F1E0C"/>
    <w:rsid w:val="007F224A"/>
    <w:rsid w:val="007F354E"/>
    <w:rsid w:val="007F4227"/>
    <w:rsid w:val="007F4292"/>
    <w:rsid w:val="007F4536"/>
    <w:rsid w:val="007F46F6"/>
    <w:rsid w:val="007F5387"/>
    <w:rsid w:val="007F538A"/>
    <w:rsid w:val="007F5CA3"/>
    <w:rsid w:val="007F62A3"/>
    <w:rsid w:val="007F695D"/>
    <w:rsid w:val="007F69D3"/>
    <w:rsid w:val="007F7089"/>
    <w:rsid w:val="007F7424"/>
    <w:rsid w:val="007F7734"/>
    <w:rsid w:val="007F77BC"/>
    <w:rsid w:val="008007C0"/>
    <w:rsid w:val="00800AE1"/>
    <w:rsid w:val="0080177B"/>
    <w:rsid w:val="0080337C"/>
    <w:rsid w:val="008037C2"/>
    <w:rsid w:val="00803C49"/>
    <w:rsid w:val="00804326"/>
    <w:rsid w:val="00804C3D"/>
    <w:rsid w:val="008057EB"/>
    <w:rsid w:val="00805C60"/>
    <w:rsid w:val="00805D51"/>
    <w:rsid w:val="00805E18"/>
    <w:rsid w:val="00806391"/>
    <w:rsid w:val="00806D0F"/>
    <w:rsid w:val="00806E74"/>
    <w:rsid w:val="00807417"/>
    <w:rsid w:val="00807690"/>
    <w:rsid w:val="008100C2"/>
    <w:rsid w:val="0081146C"/>
    <w:rsid w:val="00811F58"/>
    <w:rsid w:val="00811F8C"/>
    <w:rsid w:val="00812595"/>
    <w:rsid w:val="00813253"/>
    <w:rsid w:val="00815469"/>
    <w:rsid w:val="008159CC"/>
    <w:rsid w:val="00815B18"/>
    <w:rsid w:val="00816303"/>
    <w:rsid w:val="00816B1E"/>
    <w:rsid w:val="00816C57"/>
    <w:rsid w:val="00817263"/>
    <w:rsid w:val="00817E89"/>
    <w:rsid w:val="008203C9"/>
    <w:rsid w:val="008223A0"/>
    <w:rsid w:val="00822483"/>
    <w:rsid w:val="0082393D"/>
    <w:rsid w:val="00823C05"/>
    <w:rsid w:val="00823D40"/>
    <w:rsid w:val="008247AC"/>
    <w:rsid w:val="00824BC8"/>
    <w:rsid w:val="008251AF"/>
    <w:rsid w:val="00825450"/>
    <w:rsid w:val="008256D3"/>
    <w:rsid w:val="00825CE7"/>
    <w:rsid w:val="00826A72"/>
    <w:rsid w:val="00826BE9"/>
    <w:rsid w:val="00830AAE"/>
    <w:rsid w:val="00831D6C"/>
    <w:rsid w:val="0083217E"/>
    <w:rsid w:val="00832628"/>
    <w:rsid w:val="00833CDD"/>
    <w:rsid w:val="008340D0"/>
    <w:rsid w:val="008344E0"/>
    <w:rsid w:val="00835427"/>
    <w:rsid w:val="00835D45"/>
    <w:rsid w:val="00835EC5"/>
    <w:rsid w:val="0083650B"/>
    <w:rsid w:val="00837F96"/>
    <w:rsid w:val="00840A6B"/>
    <w:rsid w:val="00840D02"/>
    <w:rsid w:val="0084130A"/>
    <w:rsid w:val="0084135F"/>
    <w:rsid w:val="008414E3"/>
    <w:rsid w:val="00842E52"/>
    <w:rsid w:val="00844D08"/>
    <w:rsid w:val="00844D2E"/>
    <w:rsid w:val="00845FD5"/>
    <w:rsid w:val="00846D7A"/>
    <w:rsid w:val="0084707B"/>
    <w:rsid w:val="00847535"/>
    <w:rsid w:val="00847AD9"/>
    <w:rsid w:val="00850222"/>
    <w:rsid w:val="00850673"/>
    <w:rsid w:val="00850A4C"/>
    <w:rsid w:val="00852584"/>
    <w:rsid w:val="00852772"/>
    <w:rsid w:val="008528A7"/>
    <w:rsid w:val="00853075"/>
    <w:rsid w:val="008532FF"/>
    <w:rsid w:val="00853B4C"/>
    <w:rsid w:val="00853D8B"/>
    <w:rsid w:val="00854489"/>
    <w:rsid w:val="00854EDD"/>
    <w:rsid w:val="00855259"/>
    <w:rsid w:val="00855B7D"/>
    <w:rsid w:val="00855EDF"/>
    <w:rsid w:val="0085654A"/>
    <w:rsid w:val="008566CE"/>
    <w:rsid w:val="0085682B"/>
    <w:rsid w:val="0085720A"/>
    <w:rsid w:val="008575E4"/>
    <w:rsid w:val="0085796C"/>
    <w:rsid w:val="00857C7A"/>
    <w:rsid w:val="00860141"/>
    <w:rsid w:val="0086027E"/>
    <w:rsid w:val="00860659"/>
    <w:rsid w:val="0086065F"/>
    <w:rsid w:val="008612A8"/>
    <w:rsid w:val="00861AE6"/>
    <w:rsid w:val="00861D6D"/>
    <w:rsid w:val="00862113"/>
    <w:rsid w:val="00862BCB"/>
    <w:rsid w:val="00863147"/>
    <w:rsid w:val="008639D9"/>
    <w:rsid w:val="008641FB"/>
    <w:rsid w:val="008643E1"/>
    <w:rsid w:val="0086487E"/>
    <w:rsid w:val="00864DDD"/>
    <w:rsid w:val="008651D8"/>
    <w:rsid w:val="0086575B"/>
    <w:rsid w:val="00865772"/>
    <w:rsid w:val="00865CBE"/>
    <w:rsid w:val="00865D56"/>
    <w:rsid w:val="00866EA1"/>
    <w:rsid w:val="00867198"/>
    <w:rsid w:val="008679BF"/>
    <w:rsid w:val="00867CE3"/>
    <w:rsid w:val="00870768"/>
    <w:rsid w:val="00870C92"/>
    <w:rsid w:val="00870F69"/>
    <w:rsid w:val="00871E5C"/>
    <w:rsid w:val="008722AB"/>
    <w:rsid w:val="008728DC"/>
    <w:rsid w:val="00872A89"/>
    <w:rsid w:val="00872DBE"/>
    <w:rsid w:val="00873001"/>
    <w:rsid w:val="00873E3C"/>
    <w:rsid w:val="00873FB6"/>
    <w:rsid w:val="00874CE0"/>
    <w:rsid w:val="00874CFB"/>
    <w:rsid w:val="008764BF"/>
    <w:rsid w:val="0087669D"/>
    <w:rsid w:val="008767A9"/>
    <w:rsid w:val="00876BFB"/>
    <w:rsid w:val="00876CB8"/>
    <w:rsid w:val="00876EC3"/>
    <w:rsid w:val="008774D2"/>
    <w:rsid w:val="0087782F"/>
    <w:rsid w:val="00877C37"/>
    <w:rsid w:val="008801BB"/>
    <w:rsid w:val="008808D3"/>
    <w:rsid w:val="00880C1A"/>
    <w:rsid w:val="00881789"/>
    <w:rsid w:val="00881E87"/>
    <w:rsid w:val="00881EDC"/>
    <w:rsid w:val="00881F1F"/>
    <w:rsid w:val="0088206A"/>
    <w:rsid w:val="00882825"/>
    <w:rsid w:val="00883317"/>
    <w:rsid w:val="00883C2E"/>
    <w:rsid w:val="00883DBD"/>
    <w:rsid w:val="00884831"/>
    <w:rsid w:val="00884E9D"/>
    <w:rsid w:val="00885076"/>
    <w:rsid w:val="008859E8"/>
    <w:rsid w:val="008860F3"/>
    <w:rsid w:val="008864CC"/>
    <w:rsid w:val="0088700A"/>
    <w:rsid w:val="008870BC"/>
    <w:rsid w:val="0088721E"/>
    <w:rsid w:val="00887842"/>
    <w:rsid w:val="00887E7E"/>
    <w:rsid w:val="00890D75"/>
    <w:rsid w:val="0089161B"/>
    <w:rsid w:val="0089183D"/>
    <w:rsid w:val="008934E6"/>
    <w:rsid w:val="0089390B"/>
    <w:rsid w:val="008939F5"/>
    <w:rsid w:val="008940E5"/>
    <w:rsid w:val="008941EC"/>
    <w:rsid w:val="008945A7"/>
    <w:rsid w:val="0089468C"/>
    <w:rsid w:val="008951F4"/>
    <w:rsid w:val="00895914"/>
    <w:rsid w:val="00895FFF"/>
    <w:rsid w:val="008963D0"/>
    <w:rsid w:val="00896CB8"/>
    <w:rsid w:val="00897CB1"/>
    <w:rsid w:val="008A06FB"/>
    <w:rsid w:val="008A078D"/>
    <w:rsid w:val="008A1BFE"/>
    <w:rsid w:val="008A2839"/>
    <w:rsid w:val="008A2AEC"/>
    <w:rsid w:val="008A3EF9"/>
    <w:rsid w:val="008A40C2"/>
    <w:rsid w:val="008A4541"/>
    <w:rsid w:val="008A47FD"/>
    <w:rsid w:val="008A4FED"/>
    <w:rsid w:val="008A57F6"/>
    <w:rsid w:val="008A58BF"/>
    <w:rsid w:val="008A5EAB"/>
    <w:rsid w:val="008A7AC7"/>
    <w:rsid w:val="008A7B37"/>
    <w:rsid w:val="008B10B5"/>
    <w:rsid w:val="008B1B93"/>
    <w:rsid w:val="008B24A3"/>
    <w:rsid w:val="008B2B8B"/>
    <w:rsid w:val="008B30A1"/>
    <w:rsid w:val="008B3A6E"/>
    <w:rsid w:val="008B41F5"/>
    <w:rsid w:val="008B576B"/>
    <w:rsid w:val="008B5A4D"/>
    <w:rsid w:val="008B63F3"/>
    <w:rsid w:val="008B6878"/>
    <w:rsid w:val="008B6A71"/>
    <w:rsid w:val="008B6E2D"/>
    <w:rsid w:val="008B7203"/>
    <w:rsid w:val="008B7358"/>
    <w:rsid w:val="008B7920"/>
    <w:rsid w:val="008B7980"/>
    <w:rsid w:val="008B7BC5"/>
    <w:rsid w:val="008C0052"/>
    <w:rsid w:val="008C083D"/>
    <w:rsid w:val="008C0A9F"/>
    <w:rsid w:val="008C0B7F"/>
    <w:rsid w:val="008C19AC"/>
    <w:rsid w:val="008C1AFD"/>
    <w:rsid w:val="008C1B4E"/>
    <w:rsid w:val="008C1D38"/>
    <w:rsid w:val="008C23F0"/>
    <w:rsid w:val="008C2962"/>
    <w:rsid w:val="008C2B28"/>
    <w:rsid w:val="008C3189"/>
    <w:rsid w:val="008C3EED"/>
    <w:rsid w:val="008C4A3D"/>
    <w:rsid w:val="008C5D68"/>
    <w:rsid w:val="008C62DC"/>
    <w:rsid w:val="008C7287"/>
    <w:rsid w:val="008C7945"/>
    <w:rsid w:val="008C7B77"/>
    <w:rsid w:val="008C7C90"/>
    <w:rsid w:val="008C7CA3"/>
    <w:rsid w:val="008D024F"/>
    <w:rsid w:val="008D071C"/>
    <w:rsid w:val="008D085D"/>
    <w:rsid w:val="008D118F"/>
    <w:rsid w:val="008D19BC"/>
    <w:rsid w:val="008D1B8E"/>
    <w:rsid w:val="008D1E37"/>
    <w:rsid w:val="008D2301"/>
    <w:rsid w:val="008D2C67"/>
    <w:rsid w:val="008D311B"/>
    <w:rsid w:val="008D317F"/>
    <w:rsid w:val="008D31D9"/>
    <w:rsid w:val="008D3B74"/>
    <w:rsid w:val="008D4096"/>
    <w:rsid w:val="008D4E47"/>
    <w:rsid w:val="008D4FF1"/>
    <w:rsid w:val="008D5BD2"/>
    <w:rsid w:val="008D61D5"/>
    <w:rsid w:val="008D6F71"/>
    <w:rsid w:val="008D7402"/>
    <w:rsid w:val="008D7A32"/>
    <w:rsid w:val="008E02DB"/>
    <w:rsid w:val="008E0B7E"/>
    <w:rsid w:val="008E2C1D"/>
    <w:rsid w:val="008E34EB"/>
    <w:rsid w:val="008E3551"/>
    <w:rsid w:val="008E4A32"/>
    <w:rsid w:val="008E50DA"/>
    <w:rsid w:val="008E5875"/>
    <w:rsid w:val="008E5DE2"/>
    <w:rsid w:val="008E60BA"/>
    <w:rsid w:val="008E6770"/>
    <w:rsid w:val="008E682E"/>
    <w:rsid w:val="008E684D"/>
    <w:rsid w:val="008E6D01"/>
    <w:rsid w:val="008E6EEB"/>
    <w:rsid w:val="008E706D"/>
    <w:rsid w:val="008E750B"/>
    <w:rsid w:val="008E7604"/>
    <w:rsid w:val="008E7E3C"/>
    <w:rsid w:val="008F007D"/>
    <w:rsid w:val="008F081E"/>
    <w:rsid w:val="008F0885"/>
    <w:rsid w:val="008F11C2"/>
    <w:rsid w:val="008F1A2D"/>
    <w:rsid w:val="008F1A56"/>
    <w:rsid w:val="008F1EC2"/>
    <w:rsid w:val="008F2AF3"/>
    <w:rsid w:val="008F2BD1"/>
    <w:rsid w:val="008F2E17"/>
    <w:rsid w:val="008F31FF"/>
    <w:rsid w:val="008F3BFB"/>
    <w:rsid w:val="008F3F18"/>
    <w:rsid w:val="008F44A9"/>
    <w:rsid w:val="008F55A3"/>
    <w:rsid w:val="008F6348"/>
    <w:rsid w:val="008F6C50"/>
    <w:rsid w:val="008F71AA"/>
    <w:rsid w:val="008F71B1"/>
    <w:rsid w:val="008F732B"/>
    <w:rsid w:val="008F760B"/>
    <w:rsid w:val="008F7D02"/>
    <w:rsid w:val="00900613"/>
    <w:rsid w:val="00901922"/>
    <w:rsid w:val="0090205A"/>
    <w:rsid w:val="009027C1"/>
    <w:rsid w:val="00903320"/>
    <w:rsid w:val="00903456"/>
    <w:rsid w:val="00903899"/>
    <w:rsid w:val="00904ADC"/>
    <w:rsid w:val="00905A54"/>
    <w:rsid w:val="009063D0"/>
    <w:rsid w:val="00906655"/>
    <w:rsid w:val="00906A32"/>
    <w:rsid w:val="00907A66"/>
    <w:rsid w:val="00907D67"/>
    <w:rsid w:val="0091010C"/>
    <w:rsid w:val="00910917"/>
    <w:rsid w:val="0091099D"/>
    <w:rsid w:val="00910D95"/>
    <w:rsid w:val="009110EE"/>
    <w:rsid w:val="0091172E"/>
    <w:rsid w:val="00911E02"/>
    <w:rsid w:val="00911FEC"/>
    <w:rsid w:val="00912696"/>
    <w:rsid w:val="00912BEF"/>
    <w:rsid w:val="0091451C"/>
    <w:rsid w:val="0091548D"/>
    <w:rsid w:val="0091588A"/>
    <w:rsid w:val="00915A1F"/>
    <w:rsid w:val="00915A54"/>
    <w:rsid w:val="00916509"/>
    <w:rsid w:val="00917482"/>
    <w:rsid w:val="009204F8"/>
    <w:rsid w:val="00920653"/>
    <w:rsid w:val="0092095B"/>
    <w:rsid w:val="009219E5"/>
    <w:rsid w:val="00921D5D"/>
    <w:rsid w:val="00922349"/>
    <w:rsid w:val="0092327B"/>
    <w:rsid w:val="00923F37"/>
    <w:rsid w:val="00924079"/>
    <w:rsid w:val="00924367"/>
    <w:rsid w:val="00924546"/>
    <w:rsid w:val="00924A44"/>
    <w:rsid w:val="00924B50"/>
    <w:rsid w:val="00924D04"/>
    <w:rsid w:val="00924F1A"/>
    <w:rsid w:val="00925502"/>
    <w:rsid w:val="00925805"/>
    <w:rsid w:val="00926399"/>
    <w:rsid w:val="009272F3"/>
    <w:rsid w:val="00927CD0"/>
    <w:rsid w:val="00931070"/>
    <w:rsid w:val="0093166C"/>
    <w:rsid w:val="009317A1"/>
    <w:rsid w:val="00932117"/>
    <w:rsid w:val="0093230E"/>
    <w:rsid w:val="00932CC9"/>
    <w:rsid w:val="009333B8"/>
    <w:rsid w:val="0093382B"/>
    <w:rsid w:val="00933D17"/>
    <w:rsid w:val="00933EB8"/>
    <w:rsid w:val="009350BD"/>
    <w:rsid w:val="009350BE"/>
    <w:rsid w:val="00935FF4"/>
    <w:rsid w:val="00935FFD"/>
    <w:rsid w:val="00937148"/>
    <w:rsid w:val="009375A3"/>
    <w:rsid w:val="0094007C"/>
    <w:rsid w:val="009401F0"/>
    <w:rsid w:val="00941C4C"/>
    <w:rsid w:val="00941DCB"/>
    <w:rsid w:val="0094230F"/>
    <w:rsid w:val="00942A8A"/>
    <w:rsid w:val="00942CD7"/>
    <w:rsid w:val="00942D8B"/>
    <w:rsid w:val="009437FE"/>
    <w:rsid w:val="00943EAE"/>
    <w:rsid w:val="0094459B"/>
    <w:rsid w:val="00945181"/>
    <w:rsid w:val="00946C19"/>
    <w:rsid w:val="00947DC5"/>
    <w:rsid w:val="00947EE6"/>
    <w:rsid w:val="00950351"/>
    <w:rsid w:val="0095091A"/>
    <w:rsid w:val="0095122D"/>
    <w:rsid w:val="0095154D"/>
    <w:rsid w:val="0095287D"/>
    <w:rsid w:val="00953407"/>
    <w:rsid w:val="00953A3C"/>
    <w:rsid w:val="00954256"/>
    <w:rsid w:val="00954497"/>
    <w:rsid w:val="00954BA8"/>
    <w:rsid w:val="00954E5C"/>
    <w:rsid w:val="009551C8"/>
    <w:rsid w:val="0095621F"/>
    <w:rsid w:val="0095651D"/>
    <w:rsid w:val="00956EC9"/>
    <w:rsid w:val="00957654"/>
    <w:rsid w:val="00957915"/>
    <w:rsid w:val="00957971"/>
    <w:rsid w:val="00957D3E"/>
    <w:rsid w:val="00957EE1"/>
    <w:rsid w:val="009600E9"/>
    <w:rsid w:val="009605EC"/>
    <w:rsid w:val="00960A36"/>
    <w:rsid w:val="00960CE3"/>
    <w:rsid w:val="009610D8"/>
    <w:rsid w:val="00961DB8"/>
    <w:rsid w:val="00962735"/>
    <w:rsid w:val="0096284B"/>
    <w:rsid w:val="00963705"/>
    <w:rsid w:val="009640E9"/>
    <w:rsid w:val="00964691"/>
    <w:rsid w:val="00965EEC"/>
    <w:rsid w:val="0096754A"/>
    <w:rsid w:val="009677DA"/>
    <w:rsid w:val="0097019E"/>
    <w:rsid w:val="00970260"/>
    <w:rsid w:val="009702FF"/>
    <w:rsid w:val="00970DC2"/>
    <w:rsid w:val="0097122B"/>
    <w:rsid w:val="0097125B"/>
    <w:rsid w:val="00971DF8"/>
    <w:rsid w:val="009721B9"/>
    <w:rsid w:val="00972965"/>
    <w:rsid w:val="00972E58"/>
    <w:rsid w:val="009739CF"/>
    <w:rsid w:val="0097593A"/>
    <w:rsid w:val="009759D1"/>
    <w:rsid w:val="00975E02"/>
    <w:rsid w:val="0097611C"/>
    <w:rsid w:val="00977627"/>
    <w:rsid w:val="009779C3"/>
    <w:rsid w:val="00977B61"/>
    <w:rsid w:val="009805EB"/>
    <w:rsid w:val="009807B5"/>
    <w:rsid w:val="00980F4A"/>
    <w:rsid w:val="00980FD2"/>
    <w:rsid w:val="009812EC"/>
    <w:rsid w:val="009816FB"/>
    <w:rsid w:val="0098184E"/>
    <w:rsid w:val="00981BEC"/>
    <w:rsid w:val="0098311A"/>
    <w:rsid w:val="009835E3"/>
    <w:rsid w:val="00983CBE"/>
    <w:rsid w:val="00984204"/>
    <w:rsid w:val="00984206"/>
    <w:rsid w:val="009842BF"/>
    <w:rsid w:val="0098497E"/>
    <w:rsid w:val="00984D34"/>
    <w:rsid w:val="00985093"/>
    <w:rsid w:val="00985371"/>
    <w:rsid w:val="0098552A"/>
    <w:rsid w:val="00986081"/>
    <w:rsid w:val="009869E9"/>
    <w:rsid w:val="00987306"/>
    <w:rsid w:val="00987D7F"/>
    <w:rsid w:val="00987EEF"/>
    <w:rsid w:val="00990105"/>
    <w:rsid w:val="00991120"/>
    <w:rsid w:val="00991678"/>
    <w:rsid w:val="00992175"/>
    <w:rsid w:val="0099262E"/>
    <w:rsid w:val="009927EE"/>
    <w:rsid w:val="009936FA"/>
    <w:rsid w:val="0099403B"/>
    <w:rsid w:val="009944A3"/>
    <w:rsid w:val="00994588"/>
    <w:rsid w:val="0099468E"/>
    <w:rsid w:val="00994D4F"/>
    <w:rsid w:val="009951C9"/>
    <w:rsid w:val="00995597"/>
    <w:rsid w:val="00995FBD"/>
    <w:rsid w:val="0099644D"/>
    <w:rsid w:val="009A0CC9"/>
    <w:rsid w:val="009A237B"/>
    <w:rsid w:val="009A4034"/>
    <w:rsid w:val="009A4378"/>
    <w:rsid w:val="009A437E"/>
    <w:rsid w:val="009A5039"/>
    <w:rsid w:val="009A5E4E"/>
    <w:rsid w:val="009A6184"/>
    <w:rsid w:val="009A61E7"/>
    <w:rsid w:val="009A7981"/>
    <w:rsid w:val="009A7AC7"/>
    <w:rsid w:val="009A7B22"/>
    <w:rsid w:val="009A7F65"/>
    <w:rsid w:val="009B0249"/>
    <w:rsid w:val="009B070E"/>
    <w:rsid w:val="009B11B5"/>
    <w:rsid w:val="009B1238"/>
    <w:rsid w:val="009B1F05"/>
    <w:rsid w:val="009B1F56"/>
    <w:rsid w:val="009B2D2E"/>
    <w:rsid w:val="009B2F54"/>
    <w:rsid w:val="009B31D3"/>
    <w:rsid w:val="009B4DD2"/>
    <w:rsid w:val="009B58D0"/>
    <w:rsid w:val="009B6609"/>
    <w:rsid w:val="009B685F"/>
    <w:rsid w:val="009B7254"/>
    <w:rsid w:val="009B747A"/>
    <w:rsid w:val="009B7D33"/>
    <w:rsid w:val="009C0353"/>
    <w:rsid w:val="009C0531"/>
    <w:rsid w:val="009C0E99"/>
    <w:rsid w:val="009C14A1"/>
    <w:rsid w:val="009C288D"/>
    <w:rsid w:val="009C2C82"/>
    <w:rsid w:val="009C2C8C"/>
    <w:rsid w:val="009C2D18"/>
    <w:rsid w:val="009C2FBC"/>
    <w:rsid w:val="009C3065"/>
    <w:rsid w:val="009C336D"/>
    <w:rsid w:val="009C3EA8"/>
    <w:rsid w:val="009C4595"/>
    <w:rsid w:val="009C56DF"/>
    <w:rsid w:val="009C64EC"/>
    <w:rsid w:val="009C6C31"/>
    <w:rsid w:val="009C728E"/>
    <w:rsid w:val="009D08A8"/>
    <w:rsid w:val="009D1062"/>
    <w:rsid w:val="009D1304"/>
    <w:rsid w:val="009D1C29"/>
    <w:rsid w:val="009D2652"/>
    <w:rsid w:val="009D2835"/>
    <w:rsid w:val="009D2A5A"/>
    <w:rsid w:val="009D5736"/>
    <w:rsid w:val="009D58ED"/>
    <w:rsid w:val="009D5E59"/>
    <w:rsid w:val="009D68A8"/>
    <w:rsid w:val="009D6971"/>
    <w:rsid w:val="009D714C"/>
    <w:rsid w:val="009D751F"/>
    <w:rsid w:val="009D7FB5"/>
    <w:rsid w:val="009E02AD"/>
    <w:rsid w:val="009E0D77"/>
    <w:rsid w:val="009E0FF9"/>
    <w:rsid w:val="009E192E"/>
    <w:rsid w:val="009E1F5D"/>
    <w:rsid w:val="009E201C"/>
    <w:rsid w:val="009E35F5"/>
    <w:rsid w:val="009E4387"/>
    <w:rsid w:val="009E4872"/>
    <w:rsid w:val="009E4952"/>
    <w:rsid w:val="009E4E0E"/>
    <w:rsid w:val="009E5506"/>
    <w:rsid w:val="009E566F"/>
    <w:rsid w:val="009E6287"/>
    <w:rsid w:val="009E69C0"/>
    <w:rsid w:val="009E6ECE"/>
    <w:rsid w:val="009E6FE9"/>
    <w:rsid w:val="009E7108"/>
    <w:rsid w:val="009E7DCC"/>
    <w:rsid w:val="009F01A0"/>
    <w:rsid w:val="009F096F"/>
    <w:rsid w:val="009F0C0D"/>
    <w:rsid w:val="009F1BA9"/>
    <w:rsid w:val="009F346E"/>
    <w:rsid w:val="009F3E4A"/>
    <w:rsid w:val="009F44C6"/>
    <w:rsid w:val="009F5208"/>
    <w:rsid w:val="009F52A2"/>
    <w:rsid w:val="009F5343"/>
    <w:rsid w:val="009F5A2E"/>
    <w:rsid w:val="009F5D0A"/>
    <w:rsid w:val="009F6177"/>
    <w:rsid w:val="009F6359"/>
    <w:rsid w:val="009F66EC"/>
    <w:rsid w:val="009F6D80"/>
    <w:rsid w:val="009F6F6A"/>
    <w:rsid w:val="009F7091"/>
    <w:rsid w:val="009F7744"/>
    <w:rsid w:val="009F79D5"/>
    <w:rsid w:val="00A00605"/>
    <w:rsid w:val="00A00A01"/>
    <w:rsid w:val="00A0112C"/>
    <w:rsid w:val="00A014E6"/>
    <w:rsid w:val="00A01547"/>
    <w:rsid w:val="00A01961"/>
    <w:rsid w:val="00A0196F"/>
    <w:rsid w:val="00A01FC1"/>
    <w:rsid w:val="00A0398A"/>
    <w:rsid w:val="00A03E24"/>
    <w:rsid w:val="00A04903"/>
    <w:rsid w:val="00A04DDF"/>
    <w:rsid w:val="00A04FFA"/>
    <w:rsid w:val="00A05500"/>
    <w:rsid w:val="00A0561A"/>
    <w:rsid w:val="00A059B5"/>
    <w:rsid w:val="00A05AAC"/>
    <w:rsid w:val="00A05CD0"/>
    <w:rsid w:val="00A05D3A"/>
    <w:rsid w:val="00A05F07"/>
    <w:rsid w:val="00A064AB"/>
    <w:rsid w:val="00A065C4"/>
    <w:rsid w:val="00A0680F"/>
    <w:rsid w:val="00A068D0"/>
    <w:rsid w:val="00A06F1D"/>
    <w:rsid w:val="00A07146"/>
    <w:rsid w:val="00A07546"/>
    <w:rsid w:val="00A0775B"/>
    <w:rsid w:val="00A07D18"/>
    <w:rsid w:val="00A100D7"/>
    <w:rsid w:val="00A104A9"/>
    <w:rsid w:val="00A10D24"/>
    <w:rsid w:val="00A11A14"/>
    <w:rsid w:val="00A11DF0"/>
    <w:rsid w:val="00A12108"/>
    <w:rsid w:val="00A1312A"/>
    <w:rsid w:val="00A133C8"/>
    <w:rsid w:val="00A13543"/>
    <w:rsid w:val="00A13B71"/>
    <w:rsid w:val="00A13B9D"/>
    <w:rsid w:val="00A14847"/>
    <w:rsid w:val="00A15323"/>
    <w:rsid w:val="00A16694"/>
    <w:rsid w:val="00A16F2D"/>
    <w:rsid w:val="00A17351"/>
    <w:rsid w:val="00A176BE"/>
    <w:rsid w:val="00A17B9D"/>
    <w:rsid w:val="00A17F4E"/>
    <w:rsid w:val="00A20754"/>
    <w:rsid w:val="00A20B66"/>
    <w:rsid w:val="00A21063"/>
    <w:rsid w:val="00A21A9F"/>
    <w:rsid w:val="00A230CB"/>
    <w:rsid w:val="00A234AA"/>
    <w:rsid w:val="00A23527"/>
    <w:rsid w:val="00A2381C"/>
    <w:rsid w:val="00A23ADD"/>
    <w:rsid w:val="00A241AF"/>
    <w:rsid w:val="00A248C4"/>
    <w:rsid w:val="00A25F94"/>
    <w:rsid w:val="00A26B23"/>
    <w:rsid w:val="00A276E5"/>
    <w:rsid w:val="00A2795A"/>
    <w:rsid w:val="00A27A5A"/>
    <w:rsid w:val="00A30365"/>
    <w:rsid w:val="00A3078A"/>
    <w:rsid w:val="00A30C21"/>
    <w:rsid w:val="00A31AE8"/>
    <w:rsid w:val="00A32241"/>
    <w:rsid w:val="00A32941"/>
    <w:rsid w:val="00A32A3A"/>
    <w:rsid w:val="00A336DB"/>
    <w:rsid w:val="00A341F6"/>
    <w:rsid w:val="00A34B77"/>
    <w:rsid w:val="00A350E1"/>
    <w:rsid w:val="00A35253"/>
    <w:rsid w:val="00A35723"/>
    <w:rsid w:val="00A36474"/>
    <w:rsid w:val="00A3705C"/>
    <w:rsid w:val="00A4016B"/>
    <w:rsid w:val="00A40E8E"/>
    <w:rsid w:val="00A4128F"/>
    <w:rsid w:val="00A41D14"/>
    <w:rsid w:val="00A41F15"/>
    <w:rsid w:val="00A428D3"/>
    <w:rsid w:val="00A43416"/>
    <w:rsid w:val="00A43DD4"/>
    <w:rsid w:val="00A448D9"/>
    <w:rsid w:val="00A44A19"/>
    <w:rsid w:val="00A44A4F"/>
    <w:rsid w:val="00A44D4F"/>
    <w:rsid w:val="00A44D8C"/>
    <w:rsid w:val="00A4515E"/>
    <w:rsid w:val="00A45C23"/>
    <w:rsid w:val="00A46909"/>
    <w:rsid w:val="00A46DE2"/>
    <w:rsid w:val="00A47012"/>
    <w:rsid w:val="00A4781E"/>
    <w:rsid w:val="00A50EAE"/>
    <w:rsid w:val="00A5109E"/>
    <w:rsid w:val="00A51345"/>
    <w:rsid w:val="00A51E3F"/>
    <w:rsid w:val="00A52AB6"/>
    <w:rsid w:val="00A53073"/>
    <w:rsid w:val="00A53456"/>
    <w:rsid w:val="00A53DCC"/>
    <w:rsid w:val="00A53F24"/>
    <w:rsid w:val="00A540E6"/>
    <w:rsid w:val="00A54E38"/>
    <w:rsid w:val="00A550B1"/>
    <w:rsid w:val="00A55F85"/>
    <w:rsid w:val="00A5629A"/>
    <w:rsid w:val="00A56BE4"/>
    <w:rsid w:val="00A5739B"/>
    <w:rsid w:val="00A57F0F"/>
    <w:rsid w:val="00A6057D"/>
    <w:rsid w:val="00A60D9B"/>
    <w:rsid w:val="00A61483"/>
    <w:rsid w:val="00A614F0"/>
    <w:rsid w:val="00A61DAF"/>
    <w:rsid w:val="00A61ED0"/>
    <w:rsid w:val="00A61F1C"/>
    <w:rsid w:val="00A6213F"/>
    <w:rsid w:val="00A6268E"/>
    <w:rsid w:val="00A62F0C"/>
    <w:rsid w:val="00A638A3"/>
    <w:rsid w:val="00A64133"/>
    <w:rsid w:val="00A647E0"/>
    <w:rsid w:val="00A64B31"/>
    <w:rsid w:val="00A6558E"/>
    <w:rsid w:val="00A65DD7"/>
    <w:rsid w:val="00A666C1"/>
    <w:rsid w:val="00A67D62"/>
    <w:rsid w:val="00A7012E"/>
    <w:rsid w:val="00A7015F"/>
    <w:rsid w:val="00A70E78"/>
    <w:rsid w:val="00A70F9C"/>
    <w:rsid w:val="00A719E4"/>
    <w:rsid w:val="00A732D0"/>
    <w:rsid w:val="00A736C3"/>
    <w:rsid w:val="00A7599B"/>
    <w:rsid w:val="00A76067"/>
    <w:rsid w:val="00A761CA"/>
    <w:rsid w:val="00A76B08"/>
    <w:rsid w:val="00A771DA"/>
    <w:rsid w:val="00A77847"/>
    <w:rsid w:val="00A77B72"/>
    <w:rsid w:val="00A804D8"/>
    <w:rsid w:val="00A806B5"/>
    <w:rsid w:val="00A815C7"/>
    <w:rsid w:val="00A816AF"/>
    <w:rsid w:val="00A81865"/>
    <w:rsid w:val="00A81E07"/>
    <w:rsid w:val="00A823A4"/>
    <w:rsid w:val="00A82C05"/>
    <w:rsid w:val="00A82D02"/>
    <w:rsid w:val="00A82E72"/>
    <w:rsid w:val="00A83078"/>
    <w:rsid w:val="00A84CEF"/>
    <w:rsid w:val="00A85A6C"/>
    <w:rsid w:val="00A865F3"/>
    <w:rsid w:val="00A86767"/>
    <w:rsid w:val="00A876ED"/>
    <w:rsid w:val="00A87A15"/>
    <w:rsid w:val="00A87FD3"/>
    <w:rsid w:val="00A90814"/>
    <w:rsid w:val="00A911AD"/>
    <w:rsid w:val="00A91210"/>
    <w:rsid w:val="00A91F17"/>
    <w:rsid w:val="00A91FFE"/>
    <w:rsid w:val="00A92B1F"/>
    <w:rsid w:val="00A93A45"/>
    <w:rsid w:val="00A941ED"/>
    <w:rsid w:val="00A941F9"/>
    <w:rsid w:val="00A9474C"/>
    <w:rsid w:val="00A9490F"/>
    <w:rsid w:val="00A94943"/>
    <w:rsid w:val="00A94ECA"/>
    <w:rsid w:val="00A951CB"/>
    <w:rsid w:val="00A95255"/>
    <w:rsid w:val="00A95579"/>
    <w:rsid w:val="00A95897"/>
    <w:rsid w:val="00A95D1D"/>
    <w:rsid w:val="00A96432"/>
    <w:rsid w:val="00A968DC"/>
    <w:rsid w:val="00A96FC1"/>
    <w:rsid w:val="00A975BB"/>
    <w:rsid w:val="00A97C4C"/>
    <w:rsid w:val="00AA03E2"/>
    <w:rsid w:val="00AA0D1F"/>
    <w:rsid w:val="00AA0E14"/>
    <w:rsid w:val="00AA0EE2"/>
    <w:rsid w:val="00AA1367"/>
    <w:rsid w:val="00AA2A50"/>
    <w:rsid w:val="00AA2D9E"/>
    <w:rsid w:val="00AA2F3A"/>
    <w:rsid w:val="00AA3562"/>
    <w:rsid w:val="00AA3AF4"/>
    <w:rsid w:val="00AA3E72"/>
    <w:rsid w:val="00AA4032"/>
    <w:rsid w:val="00AA4440"/>
    <w:rsid w:val="00AA491B"/>
    <w:rsid w:val="00AA4A10"/>
    <w:rsid w:val="00AA6158"/>
    <w:rsid w:val="00AA642B"/>
    <w:rsid w:val="00AA7FA7"/>
    <w:rsid w:val="00AB0A9F"/>
    <w:rsid w:val="00AB35AF"/>
    <w:rsid w:val="00AB39F9"/>
    <w:rsid w:val="00AB3DA5"/>
    <w:rsid w:val="00AB3E11"/>
    <w:rsid w:val="00AB4E2C"/>
    <w:rsid w:val="00AB51A3"/>
    <w:rsid w:val="00AB55F7"/>
    <w:rsid w:val="00AB5761"/>
    <w:rsid w:val="00AB5B47"/>
    <w:rsid w:val="00AB62CA"/>
    <w:rsid w:val="00AB64BD"/>
    <w:rsid w:val="00AB655E"/>
    <w:rsid w:val="00AB7372"/>
    <w:rsid w:val="00AB78C2"/>
    <w:rsid w:val="00AC052F"/>
    <w:rsid w:val="00AC1012"/>
    <w:rsid w:val="00AC112C"/>
    <w:rsid w:val="00AC19CD"/>
    <w:rsid w:val="00AC1B66"/>
    <w:rsid w:val="00AC1DE7"/>
    <w:rsid w:val="00AC2B04"/>
    <w:rsid w:val="00AC45AF"/>
    <w:rsid w:val="00AC4829"/>
    <w:rsid w:val="00AC48B8"/>
    <w:rsid w:val="00AC4C73"/>
    <w:rsid w:val="00AC4DBC"/>
    <w:rsid w:val="00AC4E2D"/>
    <w:rsid w:val="00AC5353"/>
    <w:rsid w:val="00AC53BF"/>
    <w:rsid w:val="00AC547A"/>
    <w:rsid w:val="00AC5621"/>
    <w:rsid w:val="00AC57DB"/>
    <w:rsid w:val="00AC5A51"/>
    <w:rsid w:val="00AC5DDF"/>
    <w:rsid w:val="00AC62F1"/>
    <w:rsid w:val="00AC6B2A"/>
    <w:rsid w:val="00AC6B46"/>
    <w:rsid w:val="00AC6B9B"/>
    <w:rsid w:val="00AC6BD3"/>
    <w:rsid w:val="00AC761A"/>
    <w:rsid w:val="00AC7781"/>
    <w:rsid w:val="00AC78BF"/>
    <w:rsid w:val="00AC7964"/>
    <w:rsid w:val="00AC7B98"/>
    <w:rsid w:val="00AC7F08"/>
    <w:rsid w:val="00AD007C"/>
    <w:rsid w:val="00AD056B"/>
    <w:rsid w:val="00AD092F"/>
    <w:rsid w:val="00AD0AA5"/>
    <w:rsid w:val="00AD152B"/>
    <w:rsid w:val="00AD2855"/>
    <w:rsid w:val="00AD37C7"/>
    <w:rsid w:val="00AD3844"/>
    <w:rsid w:val="00AD3991"/>
    <w:rsid w:val="00AD3AFD"/>
    <w:rsid w:val="00AD4304"/>
    <w:rsid w:val="00AD44FA"/>
    <w:rsid w:val="00AD47FE"/>
    <w:rsid w:val="00AD55FC"/>
    <w:rsid w:val="00AD59B8"/>
    <w:rsid w:val="00AE0678"/>
    <w:rsid w:val="00AE0749"/>
    <w:rsid w:val="00AE092C"/>
    <w:rsid w:val="00AE115B"/>
    <w:rsid w:val="00AE164F"/>
    <w:rsid w:val="00AE1774"/>
    <w:rsid w:val="00AE1DB2"/>
    <w:rsid w:val="00AE3306"/>
    <w:rsid w:val="00AE38D6"/>
    <w:rsid w:val="00AE3DB1"/>
    <w:rsid w:val="00AE3DE1"/>
    <w:rsid w:val="00AE4486"/>
    <w:rsid w:val="00AE5BBA"/>
    <w:rsid w:val="00AE6423"/>
    <w:rsid w:val="00AE6529"/>
    <w:rsid w:val="00AE6B59"/>
    <w:rsid w:val="00AE6F22"/>
    <w:rsid w:val="00AE7078"/>
    <w:rsid w:val="00AE729E"/>
    <w:rsid w:val="00AE747B"/>
    <w:rsid w:val="00AE787A"/>
    <w:rsid w:val="00AF031A"/>
    <w:rsid w:val="00AF1425"/>
    <w:rsid w:val="00AF2205"/>
    <w:rsid w:val="00AF223C"/>
    <w:rsid w:val="00AF37A8"/>
    <w:rsid w:val="00AF38B9"/>
    <w:rsid w:val="00AF41B2"/>
    <w:rsid w:val="00AF496F"/>
    <w:rsid w:val="00AF4A4C"/>
    <w:rsid w:val="00AF5AED"/>
    <w:rsid w:val="00AF656D"/>
    <w:rsid w:val="00AF74E0"/>
    <w:rsid w:val="00B00B1F"/>
    <w:rsid w:val="00B01222"/>
    <w:rsid w:val="00B01E2C"/>
    <w:rsid w:val="00B02949"/>
    <w:rsid w:val="00B031AE"/>
    <w:rsid w:val="00B033CB"/>
    <w:rsid w:val="00B03556"/>
    <w:rsid w:val="00B0372C"/>
    <w:rsid w:val="00B03F02"/>
    <w:rsid w:val="00B04B98"/>
    <w:rsid w:val="00B04DB7"/>
    <w:rsid w:val="00B05BB5"/>
    <w:rsid w:val="00B05EF5"/>
    <w:rsid w:val="00B06250"/>
    <w:rsid w:val="00B0644B"/>
    <w:rsid w:val="00B068C4"/>
    <w:rsid w:val="00B06EE4"/>
    <w:rsid w:val="00B07539"/>
    <w:rsid w:val="00B076E0"/>
    <w:rsid w:val="00B07948"/>
    <w:rsid w:val="00B07D2E"/>
    <w:rsid w:val="00B11E45"/>
    <w:rsid w:val="00B12D76"/>
    <w:rsid w:val="00B13073"/>
    <w:rsid w:val="00B13897"/>
    <w:rsid w:val="00B13C0A"/>
    <w:rsid w:val="00B145C0"/>
    <w:rsid w:val="00B147DC"/>
    <w:rsid w:val="00B1500A"/>
    <w:rsid w:val="00B153A2"/>
    <w:rsid w:val="00B15DB3"/>
    <w:rsid w:val="00B16187"/>
    <w:rsid w:val="00B16946"/>
    <w:rsid w:val="00B16C6B"/>
    <w:rsid w:val="00B16F6D"/>
    <w:rsid w:val="00B17567"/>
    <w:rsid w:val="00B178B9"/>
    <w:rsid w:val="00B17933"/>
    <w:rsid w:val="00B17B9D"/>
    <w:rsid w:val="00B20876"/>
    <w:rsid w:val="00B20DC2"/>
    <w:rsid w:val="00B21386"/>
    <w:rsid w:val="00B222F6"/>
    <w:rsid w:val="00B227BB"/>
    <w:rsid w:val="00B22950"/>
    <w:rsid w:val="00B23131"/>
    <w:rsid w:val="00B23774"/>
    <w:rsid w:val="00B241B6"/>
    <w:rsid w:val="00B24760"/>
    <w:rsid w:val="00B24AC2"/>
    <w:rsid w:val="00B24F67"/>
    <w:rsid w:val="00B2537E"/>
    <w:rsid w:val="00B25A06"/>
    <w:rsid w:val="00B26974"/>
    <w:rsid w:val="00B26C67"/>
    <w:rsid w:val="00B27174"/>
    <w:rsid w:val="00B276B9"/>
    <w:rsid w:val="00B304D5"/>
    <w:rsid w:val="00B30789"/>
    <w:rsid w:val="00B30A63"/>
    <w:rsid w:val="00B30DE6"/>
    <w:rsid w:val="00B321A4"/>
    <w:rsid w:val="00B32329"/>
    <w:rsid w:val="00B324CA"/>
    <w:rsid w:val="00B3318D"/>
    <w:rsid w:val="00B34501"/>
    <w:rsid w:val="00B34653"/>
    <w:rsid w:val="00B3485E"/>
    <w:rsid w:val="00B34F51"/>
    <w:rsid w:val="00B35069"/>
    <w:rsid w:val="00B35602"/>
    <w:rsid w:val="00B35BD8"/>
    <w:rsid w:val="00B3603F"/>
    <w:rsid w:val="00B36620"/>
    <w:rsid w:val="00B3678F"/>
    <w:rsid w:val="00B3679A"/>
    <w:rsid w:val="00B3693D"/>
    <w:rsid w:val="00B401A0"/>
    <w:rsid w:val="00B40209"/>
    <w:rsid w:val="00B408A5"/>
    <w:rsid w:val="00B411FE"/>
    <w:rsid w:val="00B41314"/>
    <w:rsid w:val="00B41869"/>
    <w:rsid w:val="00B418C1"/>
    <w:rsid w:val="00B41BB3"/>
    <w:rsid w:val="00B42E25"/>
    <w:rsid w:val="00B437DA"/>
    <w:rsid w:val="00B4435E"/>
    <w:rsid w:val="00B445BE"/>
    <w:rsid w:val="00B44704"/>
    <w:rsid w:val="00B447AF"/>
    <w:rsid w:val="00B46001"/>
    <w:rsid w:val="00B46748"/>
    <w:rsid w:val="00B50015"/>
    <w:rsid w:val="00B50944"/>
    <w:rsid w:val="00B50B66"/>
    <w:rsid w:val="00B50BA8"/>
    <w:rsid w:val="00B51976"/>
    <w:rsid w:val="00B51D50"/>
    <w:rsid w:val="00B520A5"/>
    <w:rsid w:val="00B522E6"/>
    <w:rsid w:val="00B5257F"/>
    <w:rsid w:val="00B52BF7"/>
    <w:rsid w:val="00B52CC1"/>
    <w:rsid w:val="00B532F0"/>
    <w:rsid w:val="00B532F4"/>
    <w:rsid w:val="00B537C6"/>
    <w:rsid w:val="00B53BC2"/>
    <w:rsid w:val="00B5492B"/>
    <w:rsid w:val="00B54B24"/>
    <w:rsid w:val="00B54C33"/>
    <w:rsid w:val="00B56420"/>
    <w:rsid w:val="00B56F38"/>
    <w:rsid w:val="00B57485"/>
    <w:rsid w:val="00B604FB"/>
    <w:rsid w:val="00B60F36"/>
    <w:rsid w:val="00B612D7"/>
    <w:rsid w:val="00B61300"/>
    <w:rsid w:val="00B62001"/>
    <w:rsid w:val="00B62049"/>
    <w:rsid w:val="00B62656"/>
    <w:rsid w:val="00B62A42"/>
    <w:rsid w:val="00B635C3"/>
    <w:rsid w:val="00B6376E"/>
    <w:rsid w:val="00B63AA4"/>
    <w:rsid w:val="00B6414C"/>
    <w:rsid w:val="00B64720"/>
    <w:rsid w:val="00B64B92"/>
    <w:rsid w:val="00B64B98"/>
    <w:rsid w:val="00B64CF5"/>
    <w:rsid w:val="00B65620"/>
    <w:rsid w:val="00B66328"/>
    <w:rsid w:val="00B66488"/>
    <w:rsid w:val="00B672DF"/>
    <w:rsid w:val="00B676E3"/>
    <w:rsid w:val="00B67CBB"/>
    <w:rsid w:val="00B67F01"/>
    <w:rsid w:val="00B710A2"/>
    <w:rsid w:val="00B7127E"/>
    <w:rsid w:val="00B72A20"/>
    <w:rsid w:val="00B736B3"/>
    <w:rsid w:val="00B73F90"/>
    <w:rsid w:val="00B74946"/>
    <w:rsid w:val="00B74E9C"/>
    <w:rsid w:val="00B7511C"/>
    <w:rsid w:val="00B75291"/>
    <w:rsid w:val="00B75C7A"/>
    <w:rsid w:val="00B75CF6"/>
    <w:rsid w:val="00B75F80"/>
    <w:rsid w:val="00B76315"/>
    <w:rsid w:val="00B765AA"/>
    <w:rsid w:val="00B76958"/>
    <w:rsid w:val="00B774AF"/>
    <w:rsid w:val="00B7771C"/>
    <w:rsid w:val="00B8060A"/>
    <w:rsid w:val="00B813B8"/>
    <w:rsid w:val="00B81AEE"/>
    <w:rsid w:val="00B82734"/>
    <w:rsid w:val="00B82DE6"/>
    <w:rsid w:val="00B82E32"/>
    <w:rsid w:val="00B837BB"/>
    <w:rsid w:val="00B83CAC"/>
    <w:rsid w:val="00B83E6F"/>
    <w:rsid w:val="00B83E7A"/>
    <w:rsid w:val="00B83E99"/>
    <w:rsid w:val="00B84E36"/>
    <w:rsid w:val="00B853B0"/>
    <w:rsid w:val="00B858C7"/>
    <w:rsid w:val="00B85DF0"/>
    <w:rsid w:val="00B864E2"/>
    <w:rsid w:val="00B86B0C"/>
    <w:rsid w:val="00B87070"/>
    <w:rsid w:val="00B87687"/>
    <w:rsid w:val="00B877B1"/>
    <w:rsid w:val="00B87A24"/>
    <w:rsid w:val="00B87B38"/>
    <w:rsid w:val="00B90215"/>
    <w:rsid w:val="00B90683"/>
    <w:rsid w:val="00B90A7A"/>
    <w:rsid w:val="00B90F08"/>
    <w:rsid w:val="00B9150F"/>
    <w:rsid w:val="00B91674"/>
    <w:rsid w:val="00B92319"/>
    <w:rsid w:val="00B93128"/>
    <w:rsid w:val="00B93287"/>
    <w:rsid w:val="00B93662"/>
    <w:rsid w:val="00B94600"/>
    <w:rsid w:val="00B951DF"/>
    <w:rsid w:val="00B9538C"/>
    <w:rsid w:val="00B95817"/>
    <w:rsid w:val="00B95D6F"/>
    <w:rsid w:val="00B96069"/>
    <w:rsid w:val="00B96C00"/>
    <w:rsid w:val="00B9701F"/>
    <w:rsid w:val="00B977AF"/>
    <w:rsid w:val="00BA0133"/>
    <w:rsid w:val="00BA1036"/>
    <w:rsid w:val="00BA14F7"/>
    <w:rsid w:val="00BA27CC"/>
    <w:rsid w:val="00BA28AA"/>
    <w:rsid w:val="00BA2A9E"/>
    <w:rsid w:val="00BA3896"/>
    <w:rsid w:val="00BA3D68"/>
    <w:rsid w:val="00BA3FBD"/>
    <w:rsid w:val="00BA523E"/>
    <w:rsid w:val="00BA53D1"/>
    <w:rsid w:val="00BA551E"/>
    <w:rsid w:val="00BA5D46"/>
    <w:rsid w:val="00BA60AC"/>
    <w:rsid w:val="00BA616F"/>
    <w:rsid w:val="00BA650A"/>
    <w:rsid w:val="00BA6D3E"/>
    <w:rsid w:val="00BA7A83"/>
    <w:rsid w:val="00BB125A"/>
    <w:rsid w:val="00BB167E"/>
    <w:rsid w:val="00BB2624"/>
    <w:rsid w:val="00BB281C"/>
    <w:rsid w:val="00BB281E"/>
    <w:rsid w:val="00BB318C"/>
    <w:rsid w:val="00BB40DC"/>
    <w:rsid w:val="00BB4135"/>
    <w:rsid w:val="00BB419B"/>
    <w:rsid w:val="00BB4437"/>
    <w:rsid w:val="00BB4439"/>
    <w:rsid w:val="00BB55F5"/>
    <w:rsid w:val="00BB56C1"/>
    <w:rsid w:val="00BB70F3"/>
    <w:rsid w:val="00BB72F4"/>
    <w:rsid w:val="00BB7754"/>
    <w:rsid w:val="00BB77B1"/>
    <w:rsid w:val="00BC002B"/>
    <w:rsid w:val="00BC01DC"/>
    <w:rsid w:val="00BC0602"/>
    <w:rsid w:val="00BC2F00"/>
    <w:rsid w:val="00BC2F8F"/>
    <w:rsid w:val="00BC37E9"/>
    <w:rsid w:val="00BC394A"/>
    <w:rsid w:val="00BC4A44"/>
    <w:rsid w:val="00BC4A97"/>
    <w:rsid w:val="00BC4B08"/>
    <w:rsid w:val="00BC4DCA"/>
    <w:rsid w:val="00BC58D6"/>
    <w:rsid w:val="00BC6CCE"/>
    <w:rsid w:val="00BC6EFE"/>
    <w:rsid w:val="00BC77AB"/>
    <w:rsid w:val="00BC7FCD"/>
    <w:rsid w:val="00BD0CD5"/>
    <w:rsid w:val="00BD0D8A"/>
    <w:rsid w:val="00BD17E4"/>
    <w:rsid w:val="00BD1A43"/>
    <w:rsid w:val="00BD1C05"/>
    <w:rsid w:val="00BD1CF8"/>
    <w:rsid w:val="00BD2130"/>
    <w:rsid w:val="00BD2302"/>
    <w:rsid w:val="00BD27EC"/>
    <w:rsid w:val="00BD2C76"/>
    <w:rsid w:val="00BD3450"/>
    <w:rsid w:val="00BD3851"/>
    <w:rsid w:val="00BD40DF"/>
    <w:rsid w:val="00BD46FC"/>
    <w:rsid w:val="00BD5115"/>
    <w:rsid w:val="00BD5421"/>
    <w:rsid w:val="00BD577A"/>
    <w:rsid w:val="00BD594F"/>
    <w:rsid w:val="00BD5D9E"/>
    <w:rsid w:val="00BD650F"/>
    <w:rsid w:val="00BD7165"/>
    <w:rsid w:val="00BD7668"/>
    <w:rsid w:val="00BD7B84"/>
    <w:rsid w:val="00BE08C0"/>
    <w:rsid w:val="00BE10AA"/>
    <w:rsid w:val="00BE13C3"/>
    <w:rsid w:val="00BE170E"/>
    <w:rsid w:val="00BE3124"/>
    <w:rsid w:val="00BE3F4B"/>
    <w:rsid w:val="00BE470F"/>
    <w:rsid w:val="00BE477F"/>
    <w:rsid w:val="00BE4904"/>
    <w:rsid w:val="00BE4E72"/>
    <w:rsid w:val="00BE5150"/>
    <w:rsid w:val="00BE5511"/>
    <w:rsid w:val="00BE587D"/>
    <w:rsid w:val="00BE6BA9"/>
    <w:rsid w:val="00BE74C7"/>
    <w:rsid w:val="00BE75FF"/>
    <w:rsid w:val="00BE76B3"/>
    <w:rsid w:val="00BF04B6"/>
    <w:rsid w:val="00BF1465"/>
    <w:rsid w:val="00BF166B"/>
    <w:rsid w:val="00BF1B87"/>
    <w:rsid w:val="00BF24B4"/>
    <w:rsid w:val="00BF4526"/>
    <w:rsid w:val="00BF46A1"/>
    <w:rsid w:val="00BF4950"/>
    <w:rsid w:val="00BF5708"/>
    <w:rsid w:val="00BF592A"/>
    <w:rsid w:val="00BF5A56"/>
    <w:rsid w:val="00BF6674"/>
    <w:rsid w:val="00BF68F6"/>
    <w:rsid w:val="00BF75A4"/>
    <w:rsid w:val="00C00770"/>
    <w:rsid w:val="00C01B8A"/>
    <w:rsid w:val="00C01BA3"/>
    <w:rsid w:val="00C023A1"/>
    <w:rsid w:val="00C02D22"/>
    <w:rsid w:val="00C02E67"/>
    <w:rsid w:val="00C02E8E"/>
    <w:rsid w:val="00C038E1"/>
    <w:rsid w:val="00C03AE9"/>
    <w:rsid w:val="00C0518F"/>
    <w:rsid w:val="00C0535D"/>
    <w:rsid w:val="00C05C43"/>
    <w:rsid w:val="00C06CC2"/>
    <w:rsid w:val="00C071E7"/>
    <w:rsid w:val="00C0749F"/>
    <w:rsid w:val="00C117AE"/>
    <w:rsid w:val="00C12AF1"/>
    <w:rsid w:val="00C12C0F"/>
    <w:rsid w:val="00C12C84"/>
    <w:rsid w:val="00C12DFF"/>
    <w:rsid w:val="00C1448F"/>
    <w:rsid w:val="00C151D3"/>
    <w:rsid w:val="00C166EE"/>
    <w:rsid w:val="00C17A64"/>
    <w:rsid w:val="00C2162F"/>
    <w:rsid w:val="00C21A17"/>
    <w:rsid w:val="00C21E1D"/>
    <w:rsid w:val="00C22EC1"/>
    <w:rsid w:val="00C22ED3"/>
    <w:rsid w:val="00C237FE"/>
    <w:rsid w:val="00C23967"/>
    <w:rsid w:val="00C24621"/>
    <w:rsid w:val="00C248E9"/>
    <w:rsid w:val="00C24CB5"/>
    <w:rsid w:val="00C25513"/>
    <w:rsid w:val="00C26240"/>
    <w:rsid w:val="00C302D8"/>
    <w:rsid w:val="00C30329"/>
    <w:rsid w:val="00C305E7"/>
    <w:rsid w:val="00C3079C"/>
    <w:rsid w:val="00C30F3F"/>
    <w:rsid w:val="00C30F76"/>
    <w:rsid w:val="00C3119D"/>
    <w:rsid w:val="00C31D19"/>
    <w:rsid w:val="00C323DF"/>
    <w:rsid w:val="00C32854"/>
    <w:rsid w:val="00C32C33"/>
    <w:rsid w:val="00C33570"/>
    <w:rsid w:val="00C33CB3"/>
    <w:rsid w:val="00C33E27"/>
    <w:rsid w:val="00C35A5F"/>
    <w:rsid w:val="00C36549"/>
    <w:rsid w:val="00C36A15"/>
    <w:rsid w:val="00C37A0A"/>
    <w:rsid w:val="00C400D5"/>
    <w:rsid w:val="00C40AFF"/>
    <w:rsid w:val="00C40C7C"/>
    <w:rsid w:val="00C411F7"/>
    <w:rsid w:val="00C41359"/>
    <w:rsid w:val="00C41D80"/>
    <w:rsid w:val="00C42203"/>
    <w:rsid w:val="00C42F69"/>
    <w:rsid w:val="00C436E3"/>
    <w:rsid w:val="00C43BB0"/>
    <w:rsid w:val="00C43BEC"/>
    <w:rsid w:val="00C43F0F"/>
    <w:rsid w:val="00C43FE9"/>
    <w:rsid w:val="00C440EE"/>
    <w:rsid w:val="00C44FFB"/>
    <w:rsid w:val="00C45ABC"/>
    <w:rsid w:val="00C467CA"/>
    <w:rsid w:val="00C47BAD"/>
    <w:rsid w:val="00C47EFF"/>
    <w:rsid w:val="00C500A8"/>
    <w:rsid w:val="00C50490"/>
    <w:rsid w:val="00C507EA"/>
    <w:rsid w:val="00C50A6F"/>
    <w:rsid w:val="00C51DE7"/>
    <w:rsid w:val="00C520E8"/>
    <w:rsid w:val="00C5298F"/>
    <w:rsid w:val="00C53012"/>
    <w:rsid w:val="00C5308F"/>
    <w:rsid w:val="00C569AC"/>
    <w:rsid w:val="00C56AD2"/>
    <w:rsid w:val="00C5736A"/>
    <w:rsid w:val="00C575A1"/>
    <w:rsid w:val="00C576E1"/>
    <w:rsid w:val="00C57D20"/>
    <w:rsid w:val="00C6127F"/>
    <w:rsid w:val="00C622D1"/>
    <w:rsid w:val="00C625C9"/>
    <w:rsid w:val="00C62CDD"/>
    <w:rsid w:val="00C63209"/>
    <w:rsid w:val="00C6428E"/>
    <w:rsid w:val="00C6453C"/>
    <w:rsid w:val="00C64658"/>
    <w:rsid w:val="00C64CA3"/>
    <w:rsid w:val="00C658A0"/>
    <w:rsid w:val="00C65B34"/>
    <w:rsid w:val="00C66BEE"/>
    <w:rsid w:val="00C66CD4"/>
    <w:rsid w:val="00C7171E"/>
    <w:rsid w:val="00C71A57"/>
    <w:rsid w:val="00C722ED"/>
    <w:rsid w:val="00C72332"/>
    <w:rsid w:val="00C7257F"/>
    <w:rsid w:val="00C72AAD"/>
    <w:rsid w:val="00C73047"/>
    <w:rsid w:val="00C73DCD"/>
    <w:rsid w:val="00C73E30"/>
    <w:rsid w:val="00C74095"/>
    <w:rsid w:val="00C744C2"/>
    <w:rsid w:val="00C74C10"/>
    <w:rsid w:val="00C751B8"/>
    <w:rsid w:val="00C753E0"/>
    <w:rsid w:val="00C76102"/>
    <w:rsid w:val="00C768FE"/>
    <w:rsid w:val="00C769B0"/>
    <w:rsid w:val="00C76ECC"/>
    <w:rsid w:val="00C7705F"/>
    <w:rsid w:val="00C77168"/>
    <w:rsid w:val="00C7776E"/>
    <w:rsid w:val="00C808AE"/>
    <w:rsid w:val="00C80F10"/>
    <w:rsid w:val="00C812FB"/>
    <w:rsid w:val="00C81B04"/>
    <w:rsid w:val="00C8280E"/>
    <w:rsid w:val="00C82D10"/>
    <w:rsid w:val="00C8321B"/>
    <w:rsid w:val="00C836C5"/>
    <w:rsid w:val="00C86631"/>
    <w:rsid w:val="00C87099"/>
    <w:rsid w:val="00C8715A"/>
    <w:rsid w:val="00C8793E"/>
    <w:rsid w:val="00C87F4B"/>
    <w:rsid w:val="00C91788"/>
    <w:rsid w:val="00C91E0E"/>
    <w:rsid w:val="00C91E60"/>
    <w:rsid w:val="00C91FB6"/>
    <w:rsid w:val="00C922BE"/>
    <w:rsid w:val="00C9238B"/>
    <w:rsid w:val="00C929C7"/>
    <w:rsid w:val="00C92DCD"/>
    <w:rsid w:val="00C93195"/>
    <w:rsid w:val="00C93719"/>
    <w:rsid w:val="00C9528E"/>
    <w:rsid w:val="00C95C72"/>
    <w:rsid w:val="00C96968"/>
    <w:rsid w:val="00C96A77"/>
    <w:rsid w:val="00C96E75"/>
    <w:rsid w:val="00C971EB"/>
    <w:rsid w:val="00CA073A"/>
    <w:rsid w:val="00CA1C57"/>
    <w:rsid w:val="00CA2455"/>
    <w:rsid w:val="00CA380C"/>
    <w:rsid w:val="00CA43D6"/>
    <w:rsid w:val="00CA4974"/>
    <w:rsid w:val="00CA4F45"/>
    <w:rsid w:val="00CA504B"/>
    <w:rsid w:val="00CA5515"/>
    <w:rsid w:val="00CA5C17"/>
    <w:rsid w:val="00CA6D23"/>
    <w:rsid w:val="00CA74D5"/>
    <w:rsid w:val="00CA7CA1"/>
    <w:rsid w:val="00CA7D70"/>
    <w:rsid w:val="00CB00A5"/>
    <w:rsid w:val="00CB071E"/>
    <w:rsid w:val="00CB1124"/>
    <w:rsid w:val="00CB1381"/>
    <w:rsid w:val="00CB1544"/>
    <w:rsid w:val="00CB1B2A"/>
    <w:rsid w:val="00CB244C"/>
    <w:rsid w:val="00CB2C91"/>
    <w:rsid w:val="00CB2F7F"/>
    <w:rsid w:val="00CB3036"/>
    <w:rsid w:val="00CB3231"/>
    <w:rsid w:val="00CB3474"/>
    <w:rsid w:val="00CB3C24"/>
    <w:rsid w:val="00CB3E4D"/>
    <w:rsid w:val="00CB3F9D"/>
    <w:rsid w:val="00CB4184"/>
    <w:rsid w:val="00CB42E6"/>
    <w:rsid w:val="00CB527D"/>
    <w:rsid w:val="00CB58A5"/>
    <w:rsid w:val="00CB6409"/>
    <w:rsid w:val="00CC06E7"/>
    <w:rsid w:val="00CC0D28"/>
    <w:rsid w:val="00CC1117"/>
    <w:rsid w:val="00CC1509"/>
    <w:rsid w:val="00CC1A0B"/>
    <w:rsid w:val="00CC26D5"/>
    <w:rsid w:val="00CC30E3"/>
    <w:rsid w:val="00CC3254"/>
    <w:rsid w:val="00CC32E6"/>
    <w:rsid w:val="00CC3419"/>
    <w:rsid w:val="00CC4C2C"/>
    <w:rsid w:val="00CC5862"/>
    <w:rsid w:val="00CC5B40"/>
    <w:rsid w:val="00CC5D3B"/>
    <w:rsid w:val="00CC749F"/>
    <w:rsid w:val="00CC77D2"/>
    <w:rsid w:val="00CC79EF"/>
    <w:rsid w:val="00CC7E09"/>
    <w:rsid w:val="00CD062C"/>
    <w:rsid w:val="00CD0C80"/>
    <w:rsid w:val="00CD0E2E"/>
    <w:rsid w:val="00CD188B"/>
    <w:rsid w:val="00CD1FA5"/>
    <w:rsid w:val="00CD200F"/>
    <w:rsid w:val="00CD275E"/>
    <w:rsid w:val="00CD315F"/>
    <w:rsid w:val="00CD33D7"/>
    <w:rsid w:val="00CD3562"/>
    <w:rsid w:val="00CD3720"/>
    <w:rsid w:val="00CD4163"/>
    <w:rsid w:val="00CD471E"/>
    <w:rsid w:val="00CD4853"/>
    <w:rsid w:val="00CD4F4E"/>
    <w:rsid w:val="00CD50D7"/>
    <w:rsid w:val="00CD5462"/>
    <w:rsid w:val="00CD5551"/>
    <w:rsid w:val="00CD576D"/>
    <w:rsid w:val="00CD5CA5"/>
    <w:rsid w:val="00CD71D7"/>
    <w:rsid w:val="00CE06D8"/>
    <w:rsid w:val="00CE136A"/>
    <w:rsid w:val="00CE3A62"/>
    <w:rsid w:val="00CE406F"/>
    <w:rsid w:val="00CE4D9D"/>
    <w:rsid w:val="00CE5FC6"/>
    <w:rsid w:val="00CE6978"/>
    <w:rsid w:val="00CE6EC2"/>
    <w:rsid w:val="00CE72FC"/>
    <w:rsid w:val="00CE73BB"/>
    <w:rsid w:val="00CE7D6D"/>
    <w:rsid w:val="00CE7FC0"/>
    <w:rsid w:val="00CF00D3"/>
    <w:rsid w:val="00CF014C"/>
    <w:rsid w:val="00CF0496"/>
    <w:rsid w:val="00CF04D1"/>
    <w:rsid w:val="00CF10D2"/>
    <w:rsid w:val="00CF20E8"/>
    <w:rsid w:val="00CF25BB"/>
    <w:rsid w:val="00CF374E"/>
    <w:rsid w:val="00CF4172"/>
    <w:rsid w:val="00CF4D16"/>
    <w:rsid w:val="00CF66D9"/>
    <w:rsid w:val="00D00051"/>
    <w:rsid w:val="00D00462"/>
    <w:rsid w:val="00D0098B"/>
    <w:rsid w:val="00D01D68"/>
    <w:rsid w:val="00D02D3A"/>
    <w:rsid w:val="00D037FA"/>
    <w:rsid w:val="00D04F38"/>
    <w:rsid w:val="00D057F3"/>
    <w:rsid w:val="00D0604D"/>
    <w:rsid w:val="00D06504"/>
    <w:rsid w:val="00D06616"/>
    <w:rsid w:val="00D06DAC"/>
    <w:rsid w:val="00D11329"/>
    <w:rsid w:val="00D118F5"/>
    <w:rsid w:val="00D123E8"/>
    <w:rsid w:val="00D128FD"/>
    <w:rsid w:val="00D13C98"/>
    <w:rsid w:val="00D13D4E"/>
    <w:rsid w:val="00D13DEB"/>
    <w:rsid w:val="00D141EC"/>
    <w:rsid w:val="00D14539"/>
    <w:rsid w:val="00D1484D"/>
    <w:rsid w:val="00D14A57"/>
    <w:rsid w:val="00D15B07"/>
    <w:rsid w:val="00D15E7B"/>
    <w:rsid w:val="00D15EE6"/>
    <w:rsid w:val="00D164F6"/>
    <w:rsid w:val="00D16564"/>
    <w:rsid w:val="00D16C24"/>
    <w:rsid w:val="00D16DBA"/>
    <w:rsid w:val="00D17A5D"/>
    <w:rsid w:val="00D17CD5"/>
    <w:rsid w:val="00D20699"/>
    <w:rsid w:val="00D20D78"/>
    <w:rsid w:val="00D20F63"/>
    <w:rsid w:val="00D2130C"/>
    <w:rsid w:val="00D22A09"/>
    <w:rsid w:val="00D22D30"/>
    <w:rsid w:val="00D23E1F"/>
    <w:rsid w:val="00D2477A"/>
    <w:rsid w:val="00D24AFA"/>
    <w:rsid w:val="00D25361"/>
    <w:rsid w:val="00D259B2"/>
    <w:rsid w:val="00D25EFF"/>
    <w:rsid w:val="00D25F30"/>
    <w:rsid w:val="00D2610E"/>
    <w:rsid w:val="00D262BA"/>
    <w:rsid w:val="00D2689E"/>
    <w:rsid w:val="00D26C6B"/>
    <w:rsid w:val="00D26CDE"/>
    <w:rsid w:val="00D26E72"/>
    <w:rsid w:val="00D27147"/>
    <w:rsid w:val="00D271E2"/>
    <w:rsid w:val="00D27273"/>
    <w:rsid w:val="00D30B67"/>
    <w:rsid w:val="00D30EA8"/>
    <w:rsid w:val="00D30F91"/>
    <w:rsid w:val="00D3163E"/>
    <w:rsid w:val="00D328E5"/>
    <w:rsid w:val="00D335D1"/>
    <w:rsid w:val="00D339F8"/>
    <w:rsid w:val="00D33D06"/>
    <w:rsid w:val="00D33FBA"/>
    <w:rsid w:val="00D340AA"/>
    <w:rsid w:val="00D35183"/>
    <w:rsid w:val="00D3629D"/>
    <w:rsid w:val="00D416CD"/>
    <w:rsid w:val="00D41EE5"/>
    <w:rsid w:val="00D42C2C"/>
    <w:rsid w:val="00D42FEA"/>
    <w:rsid w:val="00D4351F"/>
    <w:rsid w:val="00D436FF"/>
    <w:rsid w:val="00D440BB"/>
    <w:rsid w:val="00D442D7"/>
    <w:rsid w:val="00D443BA"/>
    <w:rsid w:val="00D4495F"/>
    <w:rsid w:val="00D44AA5"/>
    <w:rsid w:val="00D4510C"/>
    <w:rsid w:val="00D45BDA"/>
    <w:rsid w:val="00D46295"/>
    <w:rsid w:val="00D46AD0"/>
    <w:rsid w:val="00D502EF"/>
    <w:rsid w:val="00D5044D"/>
    <w:rsid w:val="00D5066C"/>
    <w:rsid w:val="00D52191"/>
    <w:rsid w:val="00D52D6B"/>
    <w:rsid w:val="00D53276"/>
    <w:rsid w:val="00D53654"/>
    <w:rsid w:val="00D53B12"/>
    <w:rsid w:val="00D54041"/>
    <w:rsid w:val="00D543D8"/>
    <w:rsid w:val="00D54E3F"/>
    <w:rsid w:val="00D55C28"/>
    <w:rsid w:val="00D563E8"/>
    <w:rsid w:val="00D56DE6"/>
    <w:rsid w:val="00D56FBA"/>
    <w:rsid w:val="00D57446"/>
    <w:rsid w:val="00D57C17"/>
    <w:rsid w:val="00D6072D"/>
    <w:rsid w:val="00D60AA8"/>
    <w:rsid w:val="00D61293"/>
    <w:rsid w:val="00D61536"/>
    <w:rsid w:val="00D61BEB"/>
    <w:rsid w:val="00D61E4E"/>
    <w:rsid w:val="00D6507F"/>
    <w:rsid w:val="00D65C2A"/>
    <w:rsid w:val="00D65C50"/>
    <w:rsid w:val="00D66DC8"/>
    <w:rsid w:val="00D6781A"/>
    <w:rsid w:val="00D67E8C"/>
    <w:rsid w:val="00D7048A"/>
    <w:rsid w:val="00D709A7"/>
    <w:rsid w:val="00D70DFD"/>
    <w:rsid w:val="00D7122F"/>
    <w:rsid w:val="00D71419"/>
    <w:rsid w:val="00D7151C"/>
    <w:rsid w:val="00D71F80"/>
    <w:rsid w:val="00D729C5"/>
    <w:rsid w:val="00D72B59"/>
    <w:rsid w:val="00D7410A"/>
    <w:rsid w:val="00D743ED"/>
    <w:rsid w:val="00D744F5"/>
    <w:rsid w:val="00D75167"/>
    <w:rsid w:val="00D75AFD"/>
    <w:rsid w:val="00D75C8E"/>
    <w:rsid w:val="00D75F44"/>
    <w:rsid w:val="00D76547"/>
    <w:rsid w:val="00D7713F"/>
    <w:rsid w:val="00D80465"/>
    <w:rsid w:val="00D806CC"/>
    <w:rsid w:val="00D812D9"/>
    <w:rsid w:val="00D81334"/>
    <w:rsid w:val="00D81CE3"/>
    <w:rsid w:val="00D8244A"/>
    <w:rsid w:val="00D82D14"/>
    <w:rsid w:val="00D84C62"/>
    <w:rsid w:val="00D84EA0"/>
    <w:rsid w:val="00D85331"/>
    <w:rsid w:val="00D8539A"/>
    <w:rsid w:val="00D858E6"/>
    <w:rsid w:val="00D85925"/>
    <w:rsid w:val="00D86401"/>
    <w:rsid w:val="00D8648A"/>
    <w:rsid w:val="00D87F80"/>
    <w:rsid w:val="00D87FDB"/>
    <w:rsid w:val="00D900D4"/>
    <w:rsid w:val="00D90E34"/>
    <w:rsid w:val="00D91E9E"/>
    <w:rsid w:val="00D92169"/>
    <w:rsid w:val="00D9253F"/>
    <w:rsid w:val="00D9256B"/>
    <w:rsid w:val="00D936DB"/>
    <w:rsid w:val="00D9388B"/>
    <w:rsid w:val="00D93946"/>
    <w:rsid w:val="00D93B21"/>
    <w:rsid w:val="00D9427F"/>
    <w:rsid w:val="00D942D7"/>
    <w:rsid w:val="00D944D7"/>
    <w:rsid w:val="00D94745"/>
    <w:rsid w:val="00D9479C"/>
    <w:rsid w:val="00D963DB"/>
    <w:rsid w:val="00D96583"/>
    <w:rsid w:val="00D969DD"/>
    <w:rsid w:val="00D9702A"/>
    <w:rsid w:val="00D97E15"/>
    <w:rsid w:val="00D97F9D"/>
    <w:rsid w:val="00DA01C1"/>
    <w:rsid w:val="00DA0289"/>
    <w:rsid w:val="00DA073A"/>
    <w:rsid w:val="00DA0904"/>
    <w:rsid w:val="00DA0E0C"/>
    <w:rsid w:val="00DA15A3"/>
    <w:rsid w:val="00DA1CAE"/>
    <w:rsid w:val="00DA1CC5"/>
    <w:rsid w:val="00DA32DC"/>
    <w:rsid w:val="00DA3E17"/>
    <w:rsid w:val="00DA4073"/>
    <w:rsid w:val="00DA456F"/>
    <w:rsid w:val="00DA4D7F"/>
    <w:rsid w:val="00DA5550"/>
    <w:rsid w:val="00DA56CA"/>
    <w:rsid w:val="00DA61D2"/>
    <w:rsid w:val="00DA7637"/>
    <w:rsid w:val="00DA7A98"/>
    <w:rsid w:val="00DA7C8A"/>
    <w:rsid w:val="00DA7F1F"/>
    <w:rsid w:val="00DB04C0"/>
    <w:rsid w:val="00DB0A66"/>
    <w:rsid w:val="00DB1068"/>
    <w:rsid w:val="00DB1466"/>
    <w:rsid w:val="00DB14F9"/>
    <w:rsid w:val="00DB21F8"/>
    <w:rsid w:val="00DB2A36"/>
    <w:rsid w:val="00DB2F08"/>
    <w:rsid w:val="00DB426F"/>
    <w:rsid w:val="00DB4551"/>
    <w:rsid w:val="00DB4F6D"/>
    <w:rsid w:val="00DB4FB7"/>
    <w:rsid w:val="00DB5209"/>
    <w:rsid w:val="00DB5335"/>
    <w:rsid w:val="00DB5474"/>
    <w:rsid w:val="00DB562D"/>
    <w:rsid w:val="00DB6236"/>
    <w:rsid w:val="00DB6980"/>
    <w:rsid w:val="00DB6C64"/>
    <w:rsid w:val="00DC03F8"/>
    <w:rsid w:val="00DC05A9"/>
    <w:rsid w:val="00DC060D"/>
    <w:rsid w:val="00DC0E0B"/>
    <w:rsid w:val="00DC0FBE"/>
    <w:rsid w:val="00DC226A"/>
    <w:rsid w:val="00DC37FB"/>
    <w:rsid w:val="00DC496C"/>
    <w:rsid w:val="00DC4AE4"/>
    <w:rsid w:val="00DC4DAC"/>
    <w:rsid w:val="00DC4F60"/>
    <w:rsid w:val="00DC54B7"/>
    <w:rsid w:val="00DC56BC"/>
    <w:rsid w:val="00DC5700"/>
    <w:rsid w:val="00DC5DFF"/>
    <w:rsid w:val="00DC5E31"/>
    <w:rsid w:val="00DC62AB"/>
    <w:rsid w:val="00DC65FC"/>
    <w:rsid w:val="00DC6652"/>
    <w:rsid w:val="00DC6B46"/>
    <w:rsid w:val="00DC7440"/>
    <w:rsid w:val="00DC7B67"/>
    <w:rsid w:val="00DD0150"/>
    <w:rsid w:val="00DD03FC"/>
    <w:rsid w:val="00DD0DDA"/>
    <w:rsid w:val="00DD0F1A"/>
    <w:rsid w:val="00DD1490"/>
    <w:rsid w:val="00DD15C6"/>
    <w:rsid w:val="00DD1C5C"/>
    <w:rsid w:val="00DD2A21"/>
    <w:rsid w:val="00DD3F36"/>
    <w:rsid w:val="00DD412E"/>
    <w:rsid w:val="00DD45B7"/>
    <w:rsid w:val="00DD464F"/>
    <w:rsid w:val="00DD49A1"/>
    <w:rsid w:val="00DD51F3"/>
    <w:rsid w:val="00DD552C"/>
    <w:rsid w:val="00DD615F"/>
    <w:rsid w:val="00DD62CF"/>
    <w:rsid w:val="00DD7759"/>
    <w:rsid w:val="00DD7AB2"/>
    <w:rsid w:val="00DE01E9"/>
    <w:rsid w:val="00DE056B"/>
    <w:rsid w:val="00DE0BE3"/>
    <w:rsid w:val="00DE1749"/>
    <w:rsid w:val="00DE17FD"/>
    <w:rsid w:val="00DE1B15"/>
    <w:rsid w:val="00DE1B9B"/>
    <w:rsid w:val="00DE1CC1"/>
    <w:rsid w:val="00DE1D80"/>
    <w:rsid w:val="00DE2558"/>
    <w:rsid w:val="00DE2732"/>
    <w:rsid w:val="00DE2871"/>
    <w:rsid w:val="00DE2936"/>
    <w:rsid w:val="00DE3232"/>
    <w:rsid w:val="00DE39C8"/>
    <w:rsid w:val="00DE42C2"/>
    <w:rsid w:val="00DE4DC2"/>
    <w:rsid w:val="00DE56B0"/>
    <w:rsid w:val="00DE640E"/>
    <w:rsid w:val="00DE6A78"/>
    <w:rsid w:val="00DE6B30"/>
    <w:rsid w:val="00DE6CBD"/>
    <w:rsid w:val="00DE6E5B"/>
    <w:rsid w:val="00DE76B6"/>
    <w:rsid w:val="00DE7D4C"/>
    <w:rsid w:val="00DF0300"/>
    <w:rsid w:val="00DF064B"/>
    <w:rsid w:val="00DF0892"/>
    <w:rsid w:val="00DF0A78"/>
    <w:rsid w:val="00DF192B"/>
    <w:rsid w:val="00DF1F1C"/>
    <w:rsid w:val="00DF2128"/>
    <w:rsid w:val="00DF22AE"/>
    <w:rsid w:val="00DF2896"/>
    <w:rsid w:val="00DF331F"/>
    <w:rsid w:val="00DF3B46"/>
    <w:rsid w:val="00DF3D5E"/>
    <w:rsid w:val="00DF3E5A"/>
    <w:rsid w:val="00DF44AF"/>
    <w:rsid w:val="00DF4780"/>
    <w:rsid w:val="00DF4BE5"/>
    <w:rsid w:val="00DF586B"/>
    <w:rsid w:val="00DF5B86"/>
    <w:rsid w:val="00DF5FFA"/>
    <w:rsid w:val="00DF614E"/>
    <w:rsid w:val="00DF65AF"/>
    <w:rsid w:val="00DF6BD4"/>
    <w:rsid w:val="00DF74C8"/>
    <w:rsid w:val="00DF7B72"/>
    <w:rsid w:val="00E0032C"/>
    <w:rsid w:val="00E007AD"/>
    <w:rsid w:val="00E00C39"/>
    <w:rsid w:val="00E01F19"/>
    <w:rsid w:val="00E02497"/>
    <w:rsid w:val="00E03189"/>
    <w:rsid w:val="00E038F2"/>
    <w:rsid w:val="00E03989"/>
    <w:rsid w:val="00E04BEF"/>
    <w:rsid w:val="00E05949"/>
    <w:rsid w:val="00E06938"/>
    <w:rsid w:val="00E07109"/>
    <w:rsid w:val="00E07DF8"/>
    <w:rsid w:val="00E103E1"/>
    <w:rsid w:val="00E10CDF"/>
    <w:rsid w:val="00E11C92"/>
    <w:rsid w:val="00E121C4"/>
    <w:rsid w:val="00E12836"/>
    <w:rsid w:val="00E12FEB"/>
    <w:rsid w:val="00E13505"/>
    <w:rsid w:val="00E137DB"/>
    <w:rsid w:val="00E13A8F"/>
    <w:rsid w:val="00E13F8C"/>
    <w:rsid w:val="00E1523B"/>
    <w:rsid w:val="00E15429"/>
    <w:rsid w:val="00E15890"/>
    <w:rsid w:val="00E16842"/>
    <w:rsid w:val="00E16AD3"/>
    <w:rsid w:val="00E177D6"/>
    <w:rsid w:val="00E20B24"/>
    <w:rsid w:val="00E22643"/>
    <w:rsid w:val="00E2318E"/>
    <w:rsid w:val="00E23351"/>
    <w:rsid w:val="00E2385C"/>
    <w:rsid w:val="00E23F7C"/>
    <w:rsid w:val="00E244D5"/>
    <w:rsid w:val="00E245C5"/>
    <w:rsid w:val="00E24650"/>
    <w:rsid w:val="00E2466E"/>
    <w:rsid w:val="00E2516F"/>
    <w:rsid w:val="00E25E75"/>
    <w:rsid w:val="00E273FB"/>
    <w:rsid w:val="00E27B82"/>
    <w:rsid w:val="00E30346"/>
    <w:rsid w:val="00E30AE5"/>
    <w:rsid w:val="00E31803"/>
    <w:rsid w:val="00E31FF3"/>
    <w:rsid w:val="00E320BC"/>
    <w:rsid w:val="00E321A6"/>
    <w:rsid w:val="00E322AE"/>
    <w:rsid w:val="00E329C7"/>
    <w:rsid w:val="00E32A25"/>
    <w:rsid w:val="00E32CD2"/>
    <w:rsid w:val="00E33061"/>
    <w:rsid w:val="00E3317E"/>
    <w:rsid w:val="00E332C7"/>
    <w:rsid w:val="00E339B2"/>
    <w:rsid w:val="00E33AC4"/>
    <w:rsid w:val="00E34154"/>
    <w:rsid w:val="00E3471E"/>
    <w:rsid w:val="00E35927"/>
    <w:rsid w:val="00E360E9"/>
    <w:rsid w:val="00E36512"/>
    <w:rsid w:val="00E3686C"/>
    <w:rsid w:val="00E3707F"/>
    <w:rsid w:val="00E371ED"/>
    <w:rsid w:val="00E3750E"/>
    <w:rsid w:val="00E37558"/>
    <w:rsid w:val="00E40248"/>
    <w:rsid w:val="00E407CF"/>
    <w:rsid w:val="00E408F4"/>
    <w:rsid w:val="00E40FCD"/>
    <w:rsid w:val="00E422CC"/>
    <w:rsid w:val="00E4293E"/>
    <w:rsid w:val="00E43A9A"/>
    <w:rsid w:val="00E440D3"/>
    <w:rsid w:val="00E447A9"/>
    <w:rsid w:val="00E44A41"/>
    <w:rsid w:val="00E44E5A"/>
    <w:rsid w:val="00E451BD"/>
    <w:rsid w:val="00E45397"/>
    <w:rsid w:val="00E4543A"/>
    <w:rsid w:val="00E45658"/>
    <w:rsid w:val="00E45A16"/>
    <w:rsid w:val="00E45D5C"/>
    <w:rsid w:val="00E476A8"/>
    <w:rsid w:val="00E47831"/>
    <w:rsid w:val="00E50231"/>
    <w:rsid w:val="00E503DC"/>
    <w:rsid w:val="00E5094D"/>
    <w:rsid w:val="00E510D4"/>
    <w:rsid w:val="00E51141"/>
    <w:rsid w:val="00E52351"/>
    <w:rsid w:val="00E5250A"/>
    <w:rsid w:val="00E5251A"/>
    <w:rsid w:val="00E5272A"/>
    <w:rsid w:val="00E52872"/>
    <w:rsid w:val="00E52943"/>
    <w:rsid w:val="00E52D63"/>
    <w:rsid w:val="00E53221"/>
    <w:rsid w:val="00E5404C"/>
    <w:rsid w:val="00E54866"/>
    <w:rsid w:val="00E55285"/>
    <w:rsid w:val="00E5550C"/>
    <w:rsid w:val="00E55EC4"/>
    <w:rsid w:val="00E55F48"/>
    <w:rsid w:val="00E56132"/>
    <w:rsid w:val="00E56746"/>
    <w:rsid w:val="00E56EA4"/>
    <w:rsid w:val="00E5766A"/>
    <w:rsid w:val="00E57C78"/>
    <w:rsid w:val="00E57DF1"/>
    <w:rsid w:val="00E57E9D"/>
    <w:rsid w:val="00E60B11"/>
    <w:rsid w:val="00E61C3F"/>
    <w:rsid w:val="00E61DDB"/>
    <w:rsid w:val="00E62215"/>
    <w:rsid w:val="00E623DC"/>
    <w:rsid w:val="00E62D2D"/>
    <w:rsid w:val="00E62F76"/>
    <w:rsid w:val="00E63011"/>
    <w:rsid w:val="00E63273"/>
    <w:rsid w:val="00E635DA"/>
    <w:rsid w:val="00E64C73"/>
    <w:rsid w:val="00E654BC"/>
    <w:rsid w:val="00E65F11"/>
    <w:rsid w:val="00E66057"/>
    <w:rsid w:val="00E66A78"/>
    <w:rsid w:val="00E66ED8"/>
    <w:rsid w:val="00E70080"/>
    <w:rsid w:val="00E71CA3"/>
    <w:rsid w:val="00E723E5"/>
    <w:rsid w:val="00E72D6A"/>
    <w:rsid w:val="00E730AC"/>
    <w:rsid w:val="00E73857"/>
    <w:rsid w:val="00E73948"/>
    <w:rsid w:val="00E73F62"/>
    <w:rsid w:val="00E74456"/>
    <w:rsid w:val="00E74839"/>
    <w:rsid w:val="00E74FC7"/>
    <w:rsid w:val="00E75511"/>
    <w:rsid w:val="00E75B64"/>
    <w:rsid w:val="00E75FF2"/>
    <w:rsid w:val="00E76699"/>
    <w:rsid w:val="00E768C5"/>
    <w:rsid w:val="00E76CD5"/>
    <w:rsid w:val="00E76D40"/>
    <w:rsid w:val="00E772E4"/>
    <w:rsid w:val="00E7733C"/>
    <w:rsid w:val="00E77506"/>
    <w:rsid w:val="00E779AF"/>
    <w:rsid w:val="00E77FD8"/>
    <w:rsid w:val="00E80AB9"/>
    <w:rsid w:val="00E8100A"/>
    <w:rsid w:val="00E82834"/>
    <w:rsid w:val="00E84419"/>
    <w:rsid w:val="00E845C2"/>
    <w:rsid w:val="00E84826"/>
    <w:rsid w:val="00E851DF"/>
    <w:rsid w:val="00E855CD"/>
    <w:rsid w:val="00E85891"/>
    <w:rsid w:val="00E859DD"/>
    <w:rsid w:val="00E863A3"/>
    <w:rsid w:val="00E8648C"/>
    <w:rsid w:val="00E869C4"/>
    <w:rsid w:val="00E873BC"/>
    <w:rsid w:val="00E8793A"/>
    <w:rsid w:val="00E91343"/>
    <w:rsid w:val="00E916A9"/>
    <w:rsid w:val="00E9195B"/>
    <w:rsid w:val="00E91B6A"/>
    <w:rsid w:val="00E91DD8"/>
    <w:rsid w:val="00E92D79"/>
    <w:rsid w:val="00E94142"/>
    <w:rsid w:val="00E9472A"/>
    <w:rsid w:val="00E9487C"/>
    <w:rsid w:val="00E95676"/>
    <w:rsid w:val="00E958FC"/>
    <w:rsid w:val="00E965E0"/>
    <w:rsid w:val="00E97D5C"/>
    <w:rsid w:val="00EA104B"/>
    <w:rsid w:val="00EA14D3"/>
    <w:rsid w:val="00EA1D34"/>
    <w:rsid w:val="00EA1FE0"/>
    <w:rsid w:val="00EA213A"/>
    <w:rsid w:val="00EA2776"/>
    <w:rsid w:val="00EA2888"/>
    <w:rsid w:val="00EA293B"/>
    <w:rsid w:val="00EA3B75"/>
    <w:rsid w:val="00EA3C95"/>
    <w:rsid w:val="00EA41D0"/>
    <w:rsid w:val="00EA4499"/>
    <w:rsid w:val="00EA53DD"/>
    <w:rsid w:val="00EA55C9"/>
    <w:rsid w:val="00EA56F4"/>
    <w:rsid w:val="00EA5AFE"/>
    <w:rsid w:val="00EA62C9"/>
    <w:rsid w:val="00EA6821"/>
    <w:rsid w:val="00EA68CE"/>
    <w:rsid w:val="00EA6E21"/>
    <w:rsid w:val="00EA7A9F"/>
    <w:rsid w:val="00EB035C"/>
    <w:rsid w:val="00EB1054"/>
    <w:rsid w:val="00EB123F"/>
    <w:rsid w:val="00EB1839"/>
    <w:rsid w:val="00EB1BD9"/>
    <w:rsid w:val="00EB200A"/>
    <w:rsid w:val="00EB2205"/>
    <w:rsid w:val="00EB2720"/>
    <w:rsid w:val="00EB279E"/>
    <w:rsid w:val="00EB2833"/>
    <w:rsid w:val="00EB2907"/>
    <w:rsid w:val="00EB3087"/>
    <w:rsid w:val="00EB36BF"/>
    <w:rsid w:val="00EB3FAA"/>
    <w:rsid w:val="00EB40B8"/>
    <w:rsid w:val="00EB4409"/>
    <w:rsid w:val="00EB4752"/>
    <w:rsid w:val="00EB4BB0"/>
    <w:rsid w:val="00EB4FBC"/>
    <w:rsid w:val="00EB525E"/>
    <w:rsid w:val="00EB5755"/>
    <w:rsid w:val="00EB6914"/>
    <w:rsid w:val="00EB6B35"/>
    <w:rsid w:val="00EB7370"/>
    <w:rsid w:val="00EB7625"/>
    <w:rsid w:val="00EB7AB1"/>
    <w:rsid w:val="00EC1611"/>
    <w:rsid w:val="00EC1B1A"/>
    <w:rsid w:val="00EC3BFE"/>
    <w:rsid w:val="00EC3E8B"/>
    <w:rsid w:val="00EC494D"/>
    <w:rsid w:val="00EC4D6D"/>
    <w:rsid w:val="00EC50B5"/>
    <w:rsid w:val="00EC5A71"/>
    <w:rsid w:val="00EC5CFD"/>
    <w:rsid w:val="00EC660C"/>
    <w:rsid w:val="00EC6DBD"/>
    <w:rsid w:val="00EC6EF9"/>
    <w:rsid w:val="00EC708B"/>
    <w:rsid w:val="00EC7A62"/>
    <w:rsid w:val="00EC7DDA"/>
    <w:rsid w:val="00ED0301"/>
    <w:rsid w:val="00ED042D"/>
    <w:rsid w:val="00ED08F7"/>
    <w:rsid w:val="00ED09AA"/>
    <w:rsid w:val="00ED0E00"/>
    <w:rsid w:val="00ED0FF9"/>
    <w:rsid w:val="00ED1ECE"/>
    <w:rsid w:val="00ED2114"/>
    <w:rsid w:val="00ED2E83"/>
    <w:rsid w:val="00ED3384"/>
    <w:rsid w:val="00ED3C2B"/>
    <w:rsid w:val="00ED4990"/>
    <w:rsid w:val="00ED49F6"/>
    <w:rsid w:val="00ED5114"/>
    <w:rsid w:val="00ED516F"/>
    <w:rsid w:val="00ED5974"/>
    <w:rsid w:val="00ED7222"/>
    <w:rsid w:val="00ED73F7"/>
    <w:rsid w:val="00ED7DCC"/>
    <w:rsid w:val="00EE0047"/>
    <w:rsid w:val="00EE035D"/>
    <w:rsid w:val="00EE0D4F"/>
    <w:rsid w:val="00EE1191"/>
    <w:rsid w:val="00EE142B"/>
    <w:rsid w:val="00EE15E3"/>
    <w:rsid w:val="00EE1909"/>
    <w:rsid w:val="00EE213B"/>
    <w:rsid w:val="00EE35A0"/>
    <w:rsid w:val="00EE4C26"/>
    <w:rsid w:val="00EE5ED3"/>
    <w:rsid w:val="00EE6117"/>
    <w:rsid w:val="00EE64DD"/>
    <w:rsid w:val="00EE66FD"/>
    <w:rsid w:val="00EE6A6B"/>
    <w:rsid w:val="00EE6CCF"/>
    <w:rsid w:val="00EE7C82"/>
    <w:rsid w:val="00EF0451"/>
    <w:rsid w:val="00EF052F"/>
    <w:rsid w:val="00EF151B"/>
    <w:rsid w:val="00EF1874"/>
    <w:rsid w:val="00EF18FB"/>
    <w:rsid w:val="00EF1EFB"/>
    <w:rsid w:val="00EF3217"/>
    <w:rsid w:val="00EF37AF"/>
    <w:rsid w:val="00EF4DD7"/>
    <w:rsid w:val="00EF4DE8"/>
    <w:rsid w:val="00EF648C"/>
    <w:rsid w:val="00EF6D95"/>
    <w:rsid w:val="00EF786D"/>
    <w:rsid w:val="00EF7BC7"/>
    <w:rsid w:val="00EF7D61"/>
    <w:rsid w:val="00EF7DF8"/>
    <w:rsid w:val="00F01782"/>
    <w:rsid w:val="00F01B08"/>
    <w:rsid w:val="00F01D94"/>
    <w:rsid w:val="00F03FB5"/>
    <w:rsid w:val="00F04385"/>
    <w:rsid w:val="00F045E6"/>
    <w:rsid w:val="00F0498B"/>
    <w:rsid w:val="00F04D01"/>
    <w:rsid w:val="00F04D42"/>
    <w:rsid w:val="00F05631"/>
    <w:rsid w:val="00F05B3C"/>
    <w:rsid w:val="00F0600C"/>
    <w:rsid w:val="00F06534"/>
    <w:rsid w:val="00F066B5"/>
    <w:rsid w:val="00F069BB"/>
    <w:rsid w:val="00F10029"/>
    <w:rsid w:val="00F1009D"/>
    <w:rsid w:val="00F112D3"/>
    <w:rsid w:val="00F116A6"/>
    <w:rsid w:val="00F11C71"/>
    <w:rsid w:val="00F11CE9"/>
    <w:rsid w:val="00F124CA"/>
    <w:rsid w:val="00F12654"/>
    <w:rsid w:val="00F13A42"/>
    <w:rsid w:val="00F13CA1"/>
    <w:rsid w:val="00F145A4"/>
    <w:rsid w:val="00F14B90"/>
    <w:rsid w:val="00F1513D"/>
    <w:rsid w:val="00F1536C"/>
    <w:rsid w:val="00F15497"/>
    <w:rsid w:val="00F1579A"/>
    <w:rsid w:val="00F17677"/>
    <w:rsid w:val="00F17898"/>
    <w:rsid w:val="00F179C9"/>
    <w:rsid w:val="00F20312"/>
    <w:rsid w:val="00F20812"/>
    <w:rsid w:val="00F20A20"/>
    <w:rsid w:val="00F20CB5"/>
    <w:rsid w:val="00F20F03"/>
    <w:rsid w:val="00F2128D"/>
    <w:rsid w:val="00F2161E"/>
    <w:rsid w:val="00F228FF"/>
    <w:rsid w:val="00F22963"/>
    <w:rsid w:val="00F23012"/>
    <w:rsid w:val="00F2303A"/>
    <w:rsid w:val="00F23A02"/>
    <w:rsid w:val="00F24379"/>
    <w:rsid w:val="00F24DC0"/>
    <w:rsid w:val="00F26453"/>
    <w:rsid w:val="00F26DB9"/>
    <w:rsid w:val="00F27688"/>
    <w:rsid w:val="00F27888"/>
    <w:rsid w:val="00F27F42"/>
    <w:rsid w:val="00F3054E"/>
    <w:rsid w:val="00F3086A"/>
    <w:rsid w:val="00F326DB"/>
    <w:rsid w:val="00F3320E"/>
    <w:rsid w:val="00F341F5"/>
    <w:rsid w:val="00F34A9B"/>
    <w:rsid w:val="00F35FCD"/>
    <w:rsid w:val="00F369AE"/>
    <w:rsid w:val="00F36D46"/>
    <w:rsid w:val="00F3716F"/>
    <w:rsid w:val="00F40695"/>
    <w:rsid w:val="00F406DF"/>
    <w:rsid w:val="00F40BB1"/>
    <w:rsid w:val="00F41284"/>
    <w:rsid w:val="00F41D8A"/>
    <w:rsid w:val="00F43043"/>
    <w:rsid w:val="00F43127"/>
    <w:rsid w:val="00F43263"/>
    <w:rsid w:val="00F437B7"/>
    <w:rsid w:val="00F44B6D"/>
    <w:rsid w:val="00F44C58"/>
    <w:rsid w:val="00F44FA5"/>
    <w:rsid w:val="00F45114"/>
    <w:rsid w:val="00F4527F"/>
    <w:rsid w:val="00F4584E"/>
    <w:rsid w:val="00F46079"/>
    <w:rsid w:val="00F463CE"/>
    <w:rsid w:val="00F50914"/>
    <w:rsid w:val="00F5177F"/>
    <w:rsid w:val="00F517EC"/>
    <w:rsid w:val="00F520C5"/>
    <w:rsid w:val="00F521AB"/>
    <w:rsid w:val="00F527E4"/>
    <w:rsid w:val="00F52C5F"/>
    <w:rsid w:val="00F52E72"/>
    <w:rsid w:val="00F5341D"/>
    <w:rsid w:val="00F5359E"/>
    <w:rsid w:val="00F53FA2"/>
    <w:rsid w:val="00F54207"/>
    <w:rsid w:val="00F54516"/>
    <w:rsid w:val="00F5468F"/>
    <w:rsid w:val="00F5484A"/>
    <w:rsid w:val="00F54A07"/>
    <w:rsid w:val="00F54A97"/>
    <w:rsid w:val="00F550BF"/>
    <w:rsid w:val="00F5544D"/>
    <w:rsid w:val="00F55530"/>
    <w:rsid w:val="00F558A8"/>
    <w:rsid w:val="00F5682D"/>
    <w:rsid w:val="00F56EFF"/>
    <w:rsid w:val="00F57A5A"/>
    <w:rsid w:val="00F57E95"/>
    <w:rsid w:val="00F61167"/>
    <w:rsid w:val="00F61D6B"/>
    <w:rsid w:val="00F61EC6"/>
    <w:rsid w:val="00F6274F"/>
    <w:rsid w:val="00F6295E"/>
    <w:rsid w:val="00F62C1E"/>
    <w:rsid w:val="00F639A8"/>
    <w:rsid w:val="00F6417F"/>
    <w:rsid w:val="00F64CF1"/>
    <w:rsid w:val="00F65C16"/>
    <w:rsid w:val="00F66249"/>
    <w:rsid w:val="00F66FD5"/>
    <w:rsid w:val="00F67D30"/>
    <w:rsid w:val="00F703E6"/>
    <w:rsid w:val="00F71958"/>
    <w:rsid w:val="00F71EE5"/>
    <w:rsid w:val="00F72BBE"/>
    <w:rsid w:val="00F72DCB"/>
    <w:rsid w:val="00F7314C"/>
    <w:rsid w:val="00F73235"/>
    <w:rsid w:val="00F73434"/>
    <w:rsid w:val="00F7423A"/>
    <w:rsid w:val="00F74891"/>
    <w:rsid w:val="00F74936"/>
    <w:rsid w:val="00F7498A"/>
    <w:rsid w:val="00F74AD4"/>
    <w:rsid w:val="00F75868"/>
    <w:rsid w:val="00F75CAB"/>
    <w:rsid w:val="00F75EB6"/>
    <w:rsid w:val="00F76127"/>
    <w:rsid w:val="00F76727"/>
    <w:rsid w:val="00F767EB"/>
    <w:rsid w:val="00F76D55"/>
    <w:rsid w:val="00F76FFF"/>
    <w:rsid w:val="00F779F5"/>
    <w:rsid w:val="00F807E3"/>
    <w:rsid w:val="00F807F8"/>
    <w:rsid w:val="00F8084A"/>
    <w:rsid w:val="00F81283"/>
    <w:rsid w:val="00F8138E"/>
    <w:rsid w:val="00F814BB"/>
    <w:rsid w:val="00F81C59"/>
    <w:rsid w:val="00F82175"/>
    <w:rsid w:val="00F8242B"/>
    <w:rsid w:val="00F8342F"/>
    <w:rsid w:val="00F835C7"/>
    <w:rsid w:val="00F836EC"/>
    <w:rsid w:val="00F839A2"/>
    <w:rsid w:val="00F83DC0"/>
    <w:rsid w:val="00F842CD"/>
    <w:rsid w:val="00F84EA8"/>
    <w:rsid w:val="00F853EC"/>
    <w:rsid w:val="00F86DBA"/>
    <w:rsid w:val="00F87F45"/>
    <w:rsid w:val="00F9024D"/>
    <w:rsid w:val="00F9118E"/>
    <w:rsid w:val="00F912F4"/>
    <w:rsid w:val="00F9257F"/>
    <w:rsid w:val="00F92CC4"/>
    <w:rsid w:val="00F934E9"/>
    <w:rsid w:val="00F93661"/>
    <w:rsid w:val="00F93C07"/>
    <w:rsid w:val="00F93C54"/>
    <w:rsid w:val="00F93F8B"/>
    <w:rsid w:val="00F948EB"/>
    <w:rsid w:val="00F94BFF"/>
    <w:rsid w:val="00F9520D"/>
    <w:rsid w:val="00F952C3"/>
    <w:rsid w:val="00F9531E"/>
    <w:rsid w:val="00F95444"/>
    <w:rsid w:val="00F957FC"/>
    <w:rsid w:val="00F95DB8"/>
    <w:rsid w:val="00F96738"/>
    <w:rsid w:val="00FA065C"/>
    <w:rsid w:val="00FA080A"/>
    <w:rsid w:val="00FA09AA"/>
    <w:rsid w:val="00FA0D13"/>
    <w:rsid w:val="00FA13B9"/>
    <w:rsid w:val="00FA305D"/>
    <w:rsid w:val="00FA31DC"/>
    <w:rsid w:val="00FA3B60"/>
    <w:rsid w:val="00FA41D2"/>
    <w:rsid w:val="00FA521B"/>
    <w:rsid w:val="00FA55A0"/>
    <w:rsid w:val="00FA5FF3"/>
    <w:rsid w:val="00FA661E"/>
    <w:rsid w:val="00FA6A77"/>
    <w:rsid w:val="00FA6CB7"/>
    <w:rsid w:val="00FA6FCB"/>
    <w:rsid w:val="00FA754B"/>
    <w:rsid w:val="00FA7CC7"/>
    <w:rsid w:val="00FB040A"/>
    <w:rsid w:val="00FB0E88"/>
    <w:rsid w:val="00FB1416"/>
    <w:rsid w:val="00FB1553"/>
    <w:rsid w:val="00FB2038"/>
    <w:rsid w:val="00FB21A4"/>
    <w:rsid w:val="00FB29E3"/>
    <w:rsid w:val="00FB2F52"/>
    <w:rsid w:val="00FB3098"/>
    <w:rsid w:val="00FB4229"/>
    <w:rsid w:val="00FB4577"/>
    <w:rsid w:val="00FB4ADB"/>
    <w:rsid w:val="00FB4F48"/>
    <w:rsid w:val="00FB5E79"/>
    <w:rsid w:val="00FB696E"/>
    <w:rsid w:val="00FB6C7F"/>
    <w:rsid w:val="00FB78CF"/>
    <w:rsid w:val="00FC03B2"/>
    <w:rsid w:val="00FC0CFE"/>
    <w:rsid w:val="00FC1062"/>
    <w:rsid w:val="00FC14FA"/>
    <w:rsid w:val="00FC1566"/>
    <w:rsid w:val="00FC1A26"/>
    <w:rsid w:val="00FC1E08"/>
    <w:rsid w:val="00FC3988"/>
    <w:rsid w:val="00FC456F"/>
    <w:rsid w:val="00FC4592"/>
    <w:rsid w:val="00FC4839"/>
    <w:rsid w:val="00FC4D01"/>
    <w:rsid w:val="00FC4FB8"/>
    <w:rsid w:val="00FC5573"/>
    <w:rsid w:val="00FC6455"/>
    <w:rsid w:val="00FC6FC0"/>
    <w:rsid w:val="00FC7BDF"/>
    <w:rsid w:val="00FD0700"/>
    <w:rsid w:val="00FD0704"/>
    <w:rsid w:val="00FD2ED6"/>
    <w:rsid w:val="00FD2FD1"/>
    <w:rsid w:val="00FD3035"/>
    <w:rsid w:val="00FD37C5"/>
    <w:rsid w:val="00FD38CA"/>
    <w:rsid w:val="00FD4410"/>
    <w:rsid w:val="00FD4DB9"/>
    <w:rsid w:val="00FD6216"/>
    <w:rsid w:val="00FD644C"/>
    <w:rsid w:val="00FD7D47"/>
    <w:rsid w:val="00FD7EBB"/>
    <w:rsid w:val="00FE02CB"/>
    <w:rsid w:val="00FE1611"/>
    <w:rsid w:val="00FE19BD"/>
    <w:rsid w:val="00FE1CB9"/>
    <w:rsid w:val="00FE1FD9"/>
    <w:rsid w:val="00FE2C40"/>
    <w:rsid w:val="00FE314C"/>
    <w:rsid w:val="00FE4588"/>
    <w:rsid w:val="00FE4ACD"/>
    <w:rsid w:val="00FE5572"/>
    <w:rsid w:val="00FE60B5"/>
    <w:rsid w:val="00FE6121"/>
    <w:rsid w:val="00FE661F"/>
    <w:rsid w:val="00FE66B9"/>
    <w:rsid w:val="00FE6F36"/>
    <w:rsid w:val="00FE6FB3"/>
    <w:rsid w:val="00FE73FC"/>
    <w:rsid w:val="00FE7A08"/>
    <w:rsid w:val="00FF052D"/>
    <w:rsid w:val="00FF05A9"/>
    <w:rsid w:val="00FF080A"/>
    <w:rsid w:val="00FF0A4D"/>
    <w:rsid w:val="00FF1C6A"/>
    <w:rsid w:val="00FF1C7B"/>
    <w:rsid w:val="00FF21F5"/>
    <w:rsid w:val="00FF24A5"/>
    <w:rsid w:val="00FF24CB"/>
    <w:rsid w:val="00FF25E4"/>
    <w:rsid w:val="00FF3DC1"/>
    <w:rsid w:val="00FF5188"/>
    <w:rsid w:val="00FF53D1"/>
    <w:rsid w:val="00FF56CF"/>
    <w:rsid w:val="00FF59A7"/>
    <w:rsid w:val="00FF68F7"/>
    <w:rsid w:val="00FF6D9C"/>
    <w:rsid w:val="00FF74E7"/>
    <w:rsid w:val="00FF77B3"/>
    <w:rsid w:val="00FF7B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4A3D6D"/>
  <w15:docId w15:val="{EA505C06-C4DC-4309-B648-0E903B1EB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en-US" w:bidi="ar-SA"/>
      </w:rPr>
    </w:rPrDefault>
    <w:pPrDefault/>
  </w:docDefaults>
  <w:latentStyles w:defLockedState="0" w:defUIPriority="99" w:defSemiHidden="0" w:defUnhideWhenUsed="0" w:defQFormat="0" w:count="371">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56DE6"/>
    <w:pPr>
      <w:spacing w:before="120" w:line="276" w:lineRule="auto"/>
      <w:ind w:left="1418" w:right="339"/>
      <w:jc w:val="both"/>
    </w:pPr>
    <w:rPr>
      <w:lang w:val="en-GB"/>
    </w:rPr>
  </w:style>
  <w:style w:type="paragraph" w:styleId="Naslov1">
    <w:name w:val="heading 1"/>
    <w:basedOn w:val="Normal"/>
    <w:next w:val="Normal"/>
    <w:link w:val="Naslov1Char"/>
    <w:rsid w:val="00877C37"/>
    <w:pPr>
      <w:keepNext/>
      <w:numPr>
        <w:numId w:val="9"/>
      </w:numPr>
      <w:tabs>
        <w:tab w:val="left" w:pos="720"/>
      </w:tabs>
      <w:spacing w:before="240" w:after="720"/>
      <w:ind w:right="340"/>
      <w:outlineLvl w:val="0"/>
    </w:pPr>
    <w:rPr>
      <w:rFonts w:ascii="Arial Rounded MT Bold" w:hAnsi="Arial Rounded MT Bold"/>
      <w:b/>
      <w:bCs/>
      <w:color w:val="90ABB1" w:themeColor="accent1"/>
      <w:sz w:val="28"/>
    </w:rPr>
  </w:style>
  <w:style w:type="paragraph" w:styleId="Naslov2">
    <w:name w:val="heading 2"/>
    <w:basedOn w:val="Normal"/>
    <w:next w:val="Normal"/>
    <w:link w:val="Naslov2Char"/>
    <w:rsid w:val="00877C37"/>
    <w:pPr>
      <w:keepNext/>
      <w:numPr>
        <w:numId w:val="10"/>
      </w:numPr>
      <w:spacing w:after="240"/>
      <w:outlineLvl w:val="1"/>
    </w:pPr>
    <w:rPr>
      <w:rFonts w:ascii="Arial Rounded MT Bold" w:hAnsi="Arial Rounded MT Bold"/>
      <w:b/>
      <w:bCs/>
      <w:iCs/>
      <w:color w:val="90ABB1" w:themeColor="accent1"/>
      <w:sz w:val="24"/>
    </w:rPr>
  </w:style>
  <w:style w:type="paragraph" w:styleId="Naslov3">
    <w:name w:val="heading 3"/>
    <w:basedOn w:val="Normal"/>
    <w:next w:val="Normal"/>
    <w:link w:val="Naslov3Char"/>
    <w:rsid w:val="00877C37"/>
    <w:pPr>
      <w:keepNext/>
      <w:keepLines/>
      <w:numPr>
        <w:numId w:val="8"/>
      </w:numPr>
      <w:spacing w:after="240" w:line="240" w:lineRule="auto"/>
      <w:ind w:left="1418" w:right="340" w:firstLine="0"/>
      <w:outlineLvl w:val="2"/>
    </w:pPr>
    <w:rPr>
      <w:rFonts w:ascii="Arial Rounded MT Bold" w:hAnsi="Arial Rounded MT Bold"/>
      <w:b/>
      <w:iCs/>
      <w:color w:val="90ABB1" w:themeColor="accent1"/>
    </w:rPr>
  </w:style>
  <w:style w:type="paragraph" w:styleId="Naslov4">
    <w:name w:val="heading 4"/>
    <w:basedOn w:val="Normal"/>
    <w:next w:val="Normal"/>
    <w:pPr>
      <w:keepNext/>
      <w:outlineLvl w:val="3"/>
    </w:pPr>
    <w:rPr>
      <w:rFonts w:ascii="Verdana" w:hAnsi="Verdana"/>
      <w:b/>
      <w:bCs/>
    </w:rPr>
  </w:style>
  <w:style w:type="paragraph" w:styleId="Naslov5">
    <w:name w:val="heading 5"/>
    <w:basedOn w:val="Normal"/>
    <w:next w:val="Normal"/>
    <w:pPr>
      <w:numPr>
        <w:ilvl w:val="4"/>
        <w:numId w:val="1"/>
      </w:numPr>
      <w:spacing w:before="240" w:after="60"/>
      <w:outlineLvl w:val="4"/>
    </w:pPr>
    <w:rPr>
      <w:rFonts w:ascii="Verdana" w:hAnsi="Verdana"/>
      <w:b/>
      <w:bCs/>
      <w:i/>
      <w:iCs/>
      <w:szCs w:val="26"/>
    </w:rPr>
  </w:style>
  <w:style w:type="paragraph" w:styleId="Naslov6">
    <w:name w:val="heading 6"/>
    <w:basedOn w:val="Normal"/>
    <w:next w:val="Normal"/>
    <w:pPr>
      <w:numPr>
        <w:ilvl w:val="5"/>
        <w:numId w:val="1"/>
      </w:numPr>
      <w:spacing w:before="240" w:after="60"/>
      <w:outlineLvl w:val="5"/>
    </w:pPr>
    <w:rPr>
      <w:rFonts w:ascii="Verdana" w:hAnsi="Verdana"/>
      <w:b/>
      <w:bCs/>
    </w:rPr>
  </w:style>
  <w:style w:type="paragraph" w:styleId="Naslov7">
    <w:name w:val="heading 7"/>
    <w:basedOn w:val="Normal"/>
    <w:next w:val="Normal"/>
    <w:pPr>
      <w:numPr>
        <w:ilvl w:val="6"/>
        <w:numId w:val="1"/>
      </w:numPr>
      <w:spacing w:before="240" w:after="60"/>
      <w:outlineLvl w:val="6"/>
    </w:pPr>
    <w:rPr>
      <w:rFonts w:ascii="Verdana" w:hAnsi="Verdana"/>
    </w:rPr>
  </w:style>
  <w:style w:type="paragraph" w:styleId="Naslov8">
    <w:name w:val="heading 8"/>
    <w:basedOn w:val="Normal"/>
    <w:next w:val="Normal"/>
    <w:pPr>
      <w:numPr>
        <w:ilvl w:val="7"/>
        <w:numId w:val="1"/>
      </w:numPr>
      <w:spacing w:before="240" w:after="60"/>
      <w:outlineLvl w:val="7"/>
    </w:pPr>
    <w:rPr>
      <w:rFonts w:ascii="Verdana" w:hAnsi="Verdana"/>
      <w:i/>
      <w:iCs/>
    </w:rPr>
  </w:style>
  <w:style w:type="paragraph" w:styleId="Naslov9">
    <w:name w:val="heading 9"/>
    <w:basedOn w:val="Normal"/>
    <w:next w:val="Normal"/>
    <w:pPr>
      <w:numPr>
        <w:ilvl w:val="8"/>
        <w:numId w:val="1"/>
      </w:numPr>
      <w:spacing w:before="240" w:after="60"/>
      <w:outlineLvl w:val="8"/>
    </w:pPr>
    <w:rPr>
      <w:rFonts w:ascii="Verdana" w:hAnsi="Verdana" w:cs="Arial"/>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pPr>
      <w:tabs>
        <w:tab w:val="center" w:pos="4536"/>
        <w:tab w:val="right" w:pos="9072"/>
      </w:tabs>
    </w:pPr>
    <w:rPr>
      <w:rFonts w:ascii="Verdana" w:hAnsi="Verdana"/>
      <w:sz w:val="16"/>
    </w:rPr>
  </w:style>
  <w:style w:type="paragraph" w:styleId="Podnoje">
    <w:name w:val="footer"/>
    <w:basedOn w:val="Normal"/>
    <w:link w:val="PodnojeChar"/>
    <w:uiPriority w:val="99"/>
    <w:pPr>
      <w:tabs>
        <w:tab w:val="center" w:pos="4536"/>
        <w:tab w:val="right" w:pos="9072"/>
      </w:tabs>
    </w:pPr>
    <w:rPr>
      <w:rFonts w:ascii="Verdana" w:hAnsi="Verdana"/>
      <w:noProof/>
      <w:sz w:val="16"/>
    </w:rPr>
  </w:style>
  <w:style w:type="character" w:styleId="Brojstranice">
    <w:name w:val="page number"/>
    <w:basedOn w:val="Zadanifontodlomka"/>
    <w:semiHidden/>
    <w:rPr>
      <w:rFonts w:ascii="Verdana" w:hAnsi="Verdana"/>
      <w:sz w:val="20"/>
    </w:rPr>
  </w:style>
  <w:style w:type="paragraph" w:styleId="Uvuenotijeloteksta">
    <w:name w:val="Body Text Indent"/>
    <w:basedOn w:val="Normal"/>
    <w:semiHidden/>
    <w:pPr>
      <w:spacing w:before="60" w:after="60"/>
      <w:ind w:left="720"/>
    </w:pPr>
    <w:rPr>
      <w:rFonts w:ascii="Verdana" w:hAnsi="Verdana"/>
    </w:rPr>
  </w:style>
  <w:style w:type="paragraph" w:styleId="Tijeloteksta">
    <w:name w:val="Body Text"/>
    <w:basedOn w:val="Normal"/>
    <w:link w:val="TijelotekstaChar"/>
    <w:semiHidden/>
    <w:pPr>
      <w:spacing w:after="120"/>
    </w:pPr>
    <w:rPr>
      <w:rFonts w:ascii="Verdana" w:hAnsi="Verdana"/>
    </w:rPr>
  </w:style>
  <w:style w:type="paragraph" w:styleId="Tekstbalonia">
    <w:name w:val="Balloon Text"/>
    <w:basedOn w:val="Normal"/>
    <w:link w:val="TekstbaloniaChar"/>
    <w:uiPriority w:val="99"/>
    <w:semiHidden/>
    <w:unhideWhenUsed/>
    <w:rsid w:val="00E5766A"/>
    <w:rPr>
      <w:rFonts w:ascii="Tahoma" w:hAnsi="Tahoma" w:cs="Tahoma"/>
      <w:sz w:val="16"/>
      <w:szCs w:val="16"/>
    </w:rPr>
  </w:style>
  <w:style w:type="character" w:customStyle="1" w:styleId="TekstbaloniaChar">
    <w:name w:val="Tekst balončića Char"/>
    <w:basedOn w:val="Zadanifontodlomka"/>
    <w:link w:val="Tekstbalonia"/>
    <w:uiPriority w:val="99"/>
    <w:semiHidden/>
    <w:rsid w:val="00E5766A"/>
    <w:rPr>
      <w:rFonts w:ascii="Tahoma" w:hAnsi="Tahoma" w:cs="Tahoma"/>
      <w:sz w:val="16"/>
      <w:szCs w:val="16"/>
      <w:lang w:val="de-AT" w:eastAsia="de-DE"/>
    </w:rPr>
  </w:style>
  <w:style w:type="character" w:styleId="Referencakomentara">
    <w:name w:val="annotation reference"/>
    <w:basedOn w:val="Zadanifontodlomka"/>
    <w:uiPriority w:val="99"/>
    <w:semiHidden/>
    <w:unhideWhenUsed/>
    <w:rsid w:val="0023224E"/>
    <w:rPr>
      <w:sz w:val="16"/>
      <w:szCs w:val="16"/>
    </w:rPr>
  </w:style>
  <w:style w:type="paragraph" w:styleId="Tekstkomentara">
    <w:name w:val="annotation text"/>
    <w:basedOn w:val="Normal"/>
    <w:link w:val="TekstkomentaraChar"/>
    <w:uiPriority w:val="99"/>
    <w:unhideWhenUsed/>
    <w:rsid w:val="0023224E"/>
    <w:pPr>
      <w:spacing w:line="240" w:lineRule="auto"/>
    </w:pPr>
  </w:style>
  <w:style w:type="character" w:customStyle="1" w:styleId="TekstkomentaraChar">
    <w:name w:val="Tekst komentara Char"/>
    <w:basedOn w:val="Zadanifontodlomka"/>
    <w:link w:val="Tekstkomentara"/>
    <w:uiPriority w:val="99"/>
    <w:rsid w:val="0023224E"/>
    <w:rPr>
      <w:rFonts w:ascii="Calibri" w:eastAsia="Calibri" w:hAnsi="Calibri"/>
      <w:lang w:val="de-AT" w:eastAsia="en-US"/>
    </w:rPr>
  </w:style>
  <w:style w:type="paragraph" w:styleId="Predmetkomentara">
    <w:name w:val="annotation subject"/>
    <w:basedOn w:val="Tekstkomentara"/>
    <w:next w:val="Tekstkomentara"/>
    <w:link w:val="PredmetkomentaraChar"/>
    <w:uiPriority w:val="99"/>
    <w:semiHidden/>
    <w:unhideWhenUsed/>
    <w:rsid w:val="0023224E"/>
    <w:rPr>
      <w:b/>
      <w:bCs/>
    </w:rPr>
  </w:style>
  <w:style w:type="character" w:customStyle="1" w:styleId="PredmetkomentaraChar">
    <w:name w:val="Predmet komentara Char"/>
    <w:basedOn w:val="TekstkomentaraChar"/>
    <w:link w:val="Predmetkomentara"/>
    <w:uiPriority w:val="99"/>
    <w:semiHidden/>
    <w:rsid w:val="0023224E"/>
    <w:rPr>
      <w:rFonts w:ascii="Calibri" w:eastAsia="Calibri" w:hAnsi="Calibri"/>
      <w:b/>
      <w:bCs/>
      <w:lang w:val="de-AT" w:eastAsia="en-US"/>
    </w:rPr>
  </w:style>
  <w:style w:type="paragraph" w:styleId="Odlomakpopisa">
    <w:name w:val="List Paragraph"/>
    <w:basedOn w:val="Normal"/>
    <w:link w:val="OdlomakpopisaChar"/>
    <w:uiPriority w:val="34"/>
    <w:qFormat/>
    <w:rsid w:val="00063D14"/>
    <w:pPr>
      <w:ind w:left="720"/>
      <w:contextualSpacing/>
    </w:pPr>
  </w:style>
  <w:style w:type="character" w:styleId="Hiperveza">
    <w:name w:val="Hyperlink"/>
    <w:basedOn w:val="Zadanifontodlomka"/>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StandardWeb">
    <w:name w:val="Normal (Web)"/>
    <w:basedOn w:val="Normal"/>
    <w:uiPriority w:val="99"/>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Zadanifontodlomka"/>
    <w:rsid w:val="0037093F"/>
  </w:style>
  <w:style w:type="table" w:styleId="Svijetlipopis-Isticanje1">
    <w:name w:val="Light List Accent 1"/>
    <w:basedOn w:val="Obinatablica"/>
    <w:uiPriority w:val="61"/>
    <w:rsid w:val="00A350E1"/>
    <w:rPr>
      <w:rFonts w:asciiTheme="minorHAnsi" w:eastAsiaTheme="minorHAnsi" w:hAnsiTheme="minorHAnsi" w:cstheme="minorBidi"/>
      <w:sz w:val="22"/>
      <w:szCs w:val="22"/>
    </w:rPr>
    <w:tblPr>
      <w:tblStyleRowBandSize w:val="1"/>
      <w:tblStyleColBandSize w:val="1"/>
      <w:tblBorders>
        <w:top w:val="single" w:sz="8" w:space="0" w:color="90ABB1" w:themeColor="accent1"/>
        <w:left w:val="single" w:sz="8" w:space="0" w:color="90ABB1" w:themeColor="accent1"/>
        <w:bottom w:val="single" w:sz="8" w:space="0" w:color="90ABB1" w:themeColor="accent1"/>
        <w:right w:val="single" w:sz="8" w:space="0" w:color="90ABB1" w:themeColor="accent1"/>
      </w:tblBorders>
    </w:tblPr>
    <w:tblStylePr w:type="firstRow">
      <w:pPr>
        <w:spacing w:before="0" w:after="0" w:line="240" w:lineRule="auto"/>
      </w:pPr>
      <w:rPr>
        <w:b/>
        <w:bCs/>
        <w:color w:val="FFFFFF" w:themeColor="background1"/>
      </w:rPr>
      <w:tblPr/>
      <w:tcPr>
        <w:shd w:val="clear" w:color="auto" w:fill="90ABB1" w:themeFill="accent1"/>
      </w:tcPr>
    </w:tblStylePr>
    <w:tblStylePr w:type="lastRow">
      <w:pPr>
        <w:spacing w:before="0" w:after="0" w:line="240" w:lineRule="auto"/>
      </w:pPr>
      <w:rPr>
        <w:b/>
        <w:bCs/>
      </w:rPr>
      <w:tblPr/>
      <w:tcPr>
        <w:tcBorders>
          <w:top w:val="double" w:sz="6" w:space="0" w:color="90ABB1" w:themeColor="accent1"/>
          <w:left w:val="single" w:sz="8" w:space="0" w:color="90ABB1" w:themeColor="accent1"/>
          <w:bottom w:val="single" w:sz="8" w:space="0" w:color="90ABB1" w:themeColor="accent1"/>
          <w:right w:val="single" w:sz="8" w:space="0" w:color="90ABB1" w:themeColor="accent1"/>
        </w:tcBorders>
      </w:tcPr>
    </w:tblStylePr>
    <w:tblStylePr w:type="firstCol">
      <w:rPr>
        <w:b/>
        <w:bCs/>
      </w:rPr>
    </w:tblStylePr>
    <w:tblStylePr w:type="lastCol">
      <w:rPr>
        <w:b/>
        <w:bCs/>
      </w:rPr>
    </w:tblStylePr>
    <w:tblStylePr w:type="band1Vert">
      <w:tblPr/>
      <w:tcPr>
        <w:tcBorders>
          <w:top w:val="single" w:sz="8" w:space="0" w:color="90ABB1" w:themeColor="accent1"/>
          <w:left w:val="single" w:sz="8" w:space="0" w:color="90ABB1" w:themeColor="accent1"/>
          <w:bottom w:val="single" w:sz="8" w:space="0" w:color="90ABB1" w:themeColor="accent1"/>
          <w:right w:val="single" w:sz="8" w:space="0" w:color="90ABB1" w:themeColor="accent1"/>
        </w:tcBorders>
      </w:tcPr>
    </w:tblStylePr>
    <w:tblStylePr w:type="band1Horz">
      <w:tblPr/>
      <w:tcPr>
        <w:tcBorders>
          <w:top w:val="single" w:sz="8" w:space="0" w:color="90ABB1" w:themeColor="accent1"/>
          <w:left w:val="single" w:sz="8" w:space="0" w:color="90ABB1" w:themeColor="accent1"/>
          <w:bottom w:val="single" w:sz="8" w:space="0" w:color="90ABB1" w:themeColor="accent1"/>
          <w:right w:val="single" w:sz="8" w:space="0" w:color="90ABB1" w:themeColor="accent1"/>
        </w:tcBorders>
      </w:tcPr>
    </w:tblStylePr>
  </w:style>
  <w:style w:type="paragraph" w:customStyle="1" w:styleId="Text1">
    <w:name w:val="Text 1"/>
    <w:basedOn w:val="Normal"/>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al"/>
    <w:rsid w:val="00A350E1"/>
    <w:pPr>
      <w:spacing w:before="40" w:after="40" w:line="240" w:lineRule="auto"/>
    </w:pPr>
    <w:rPr>
      <w:rFonts w:ascii="Arial Narrow" w:hAnsi="Arial Narrow" w:cs="Arial"/>
      <w:lang w:eastAsia="de-DE"/>
    </w:rPr>
  </w:style>
  <w:style w:type="character" w:styleId="SlijeenaHiperveza">
    <w:name w:val="FollowedHyperlink"/>
    <w:basedOn w:val="Zadanifontodlomka"/>
    <w:uiPriority w:val="99"/>
    <w:semiHidden/>
    <w:unhideWhenUsed/>
    <w:rsid w:val="005E328C"/>
    <w:rPr>
      <w:color w:val="708792" w:themeColor="followedHyperlink"/>
      <w:u w:val="single"/>
    </w:rPr>
  </w:style>
  <w:style w:type="paragraph" w:styleId="Revizija">
    <w:name w:val="Revision"/>
    <w:hidden/>
    <w:uiPriority w:val="99"/>
    <w:semiHidden/>
    <w:rsid w:val="00F842CD"/>
    <w:rPr>
      <w:rFonts w:ascii="Calibri" w:eastAsia="Calibri" w:hAnsi="Calibri"/>
      <w:sz w:val="22"/>
      <w:szCs w:val="22"/>
    </w:rPr>
  </w:style>
  <w:style w:type="table" w:styleId="Reetkatablice">
    <w:name w:val="Table Grid"/>
    <w:basedOn w:val="Obinatablica"/>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ijetlipopis-Isticanje5">
    <w:name w:val="Light List Accent 5"/>
    <w:basedOn w:val="Obinatablica"/>
    <w:uiPriority w:val="61"/>
    <w:rsid w:val="00F5177F"/>
    <w:tblPr>
      <w:tblStyleRowBandSize w:val="1"/>
      <w:tblStyleColBandSize w:val="1"/>
      <w:tblBorders>
        <w:top w:val="single" w:sz="8" w:space="0" w:color="F68A42" w:themeColor="accent5"/>
        <w:left w:val="single" w:sz="8" w:space="0" w:color="F68A42" w:themeColor="accent5"/>
        <w:bottom w:val="single" w:sz="8" w:space="0" w:color="F68A42" w:themeColor="accent5"/>
        <w:right w:val="single" w:sz="8" w:space="0" w:color="F68A42" w:themeColor="accent5"/>
      </w:tblBorders>
    </w:tblPr>
    <w:tblStylePr w:type="firstRow">
      <w:pPr>
        <w:spacing w:before="0" w:after="0" w:line="240" w:lineRule="auto"/>
      </w:pPr>
      <w:rPr>
        <w:b/>
        <w:bCs/>
        <w:color w:val="FFFFFF" w:themeColor="background1"/>
      </w:rPr>
      <w:tblPr/>
      <w:tcPr>
        <w:shd w:val="clear" w:color="auto" w:fill="F68A42" w:themeFill="accent5"/>
      </w:tcPr>
    </w:tblStylePr>
    <w:tblStylePr w:type="lastRow">
      <w:pPr>
        <w:spacing w:before="0" w:after="0" w:line="240" w:lineRule="auto"/>
      </w:pPr>
      <w:rPr>
        <w:b/>
        <w:bCs/>
      </w:rPr>
      <w:tblPr/>
      <w:tcPr>
        <w:tcBorders>
          <w:top w:val="double" w:sz="6" w:space="0" w:color="F68A42" w:themeColor="accent5"/>
          <w:left w:val="single" w:sz="8" w:space="0" w:color="F68A42" w:themeColor="accent5"/>
          <w:bottom w:val="single" w:sz="8" w:space="0" w:color="F68A42" w:themeColor="accent5"/>
          <w:right w:val="single" w:sz="8" w:space="0" w:color="F68A42" w:themeColor="accent5"/>
        </w:tcBorders>
      </w:tcPr>
    </w:tblStylePr>
    <w:tblStylePr w:type="firstCol">
      <w:rPr>
        <w:b/>
        <w:bCs/>
      </w:rPr>
    </w:tblStylePr>
    <w:tblStylePr w:type="lastCol">
      <w:rPr>
        <w:b/>
        <w:bCs/>
      </w:rPr>
    </w:tblStylePr>
    <w:tblStylePr w:type="band1Vert">
      <w:tblPr/>
      <w:tcPr>
        <w:tcBorders>
          <w:top w:val="single" w:sz="8" w:space="0" w:color="F68A42" w:themeColor="accent5"/>
          <w:left w:val="single" w:sz="8" w:space="0" w:color="F68A42" w:themeColor="accent5"/>
          <w:bottom w:val="single" w:sz="8" w:space="0" w:color="F68A42" w:themeColor="accent5"/>
          <w:right w:val="single" w:sz="8" w:space="0" w:color="F68A42" w:themeColor="accent5"/>
        </w:tcBorders>
      </w:tcPr>
    </w:tblStylePr>
    <w:tblStylePr w:type="band1Horz">
      <w:tblPr/>
      <w:tcPr>
        <w:tcBorders>
          <w:top w:val="single" w:sz="8" w:space="0" w:color="F68A42" w:themeColor="accent5"/>
          <w:left w:val="single" w:sz="8" w:space="0" w:color="F68A42" w:themeColor="accent5"/>
          <w:bottom w:val="single" w:sz="8" w:space="0" w:color="F68A42" w:themeColor="accent5"/>
          <w:right w:val="single" w:sz="8" w:space="0" w:color="F68A42" w:themeColor="accent5"/>
        </w:tcBorders>
      </w:tcPr>
    </w:tblStylePr>
  </w:style>
  <w:style w:type="table" w:styleId="Svijetlipopis-Isticanje4">
    <w:name w:val="Light List Accent 4"/>
    <w:basedOn w:val="Obinatablica"/>
    <w:uiPriority w:val="61"/>
    <w:rsid w:val="00F5177F"/>
    <w:tblPr>
      <w:tblStyleRowBandSize w:val="1"/>
      <w:tblStyleColBandSize w:val="1"/>
      <w:tblBorders>
        <w:top w:val="single" w:sz="8" w:space="0" w:color="9ACA3C" w:themeColor="accent4"/>
        <w:left w:val="single" w:sz="8" w:space="0" w:color="9ACA3C" w:themeColor="accent4"/>
        <w:bottom w:val="single" w:sz="8" w:space="0" w:color="9ACA3C" w:themeColor="accent4"/>
        <w:right w:val="single" w:sz="8" w:space="0" w:color="9ACA3C" w:themeColor="accent4"/>
      </w:tblBorders>
    </w:tblPr>
    <w:tblStylePr w:type="firstRow">
      <w:pPr>
        <w:spacing w:before="0" w:after="0" w:line="240" w:lineRule="auto"/>
      </w:pPr>
      <w:rPr>
        <w:b/>
        <w:bCs/>
        <w:color w:val="FFFFFF" w:themeColor="background1"/>
      </w:rPr>
      <w:tblPr/>
      <w:tcPr>
        <w:shd w:val="clear" w:color="auto" w:fill="9ACA3C" w:themeFill="accent4"/>
      </w:tcPr>
    </w:tblStylePr>
    <w:tblStylePr w:type="lastRow">
      <w:pPr>
        <w:spacing w:before="0" w:after="0" w:line="240" w:lineRule="auto"/>
      </w:pPr>
      <w:rPr>
        <w:b/>
        <w:bCs/>
      </w:rPr>
      <w:tblPr/>
      <w:tcPr>
        <w:tcBorders>
          <w:top w:val="double" w:sz="6" w:space="0" w:color="9ACA3C" w:themeColor="accent4"/>
          <w:left w:val="single" w:sz="8" w:space="0" w:color="9ACA3C" w:themeColor="accent4"/>
          <w:bottom w:val="single" w:sz="8" w:space="0" w:color="9ACA3C" w:themeColor="accent4"/>
          <w:right w:val="single" w:sz="8" w:space="0" w:color="9ACA3C" w:themeColor="accent4"/>
        </w:tcBorders>
      </w:tcPr>
    </w:tblStylePr>
    <w:tblStylePr w:type="firstCol">
      <w:rPr>
        <w:b/>
        <w:bCs/>
      </w:rPr>
    </w:tblStylePr>
    <w:tblStylePr w:type="lastCol">
      <w:rPr>
        <w:b/>
        <w:bCs/>
      </w:rPr>
    </w:tblStylePr>
    <w:tblStylePr w:type="band1Vert">
      <w:tblPr/>
      <w:tcPr>
        <w:tcBorders>
          <w:top w:val="single" w:sz="8" w:space="0" w:color="9ACA3C" w:themeColor="accent4"/>
          <w:left w:val="single" w:sz="8" w:space="0" w:color="9ACA3C" w:themeColor="accent4"/>
          <w:bottom w:val="single" w:sz="8" w:space="0" w:color="9ACA3C" w:themeColor="accent4"/>
          <w:right w:val="single" w:sz="8" w:space="0" w:color="9ACA3C" w:themeColor="accent4"/>
        </w:tcBorders>
      </w:tcPr>
    </w:tblStylePr>
    <w:tblStylePr w:type="band1Horz">
      <w:tblPr/>
      <w:tcPr>
        <w:tcBorders>
          <w:top w:val="single" w:sz="8" w:space="0" w:color="9ACA3C" w:themeColor="accent4"/>
          <w:left w:val="single" w:sz="8" w:space="0" w:color="9ACA3C" w:themeColor="accent4"/>
          <w:bottom w:val="single" w:sz="8" w:space="0" w:color="9ACA3C" w:themeColor="accent4"/>
          <w:right w:val="single" w:sz="8" w:space="0" w:color="9ACA3C" w:themeColor="accent4"/>
        </w:tcBorders>
      </w:tcPr>
    </w:tblStylePr>
  </w:style>
  <w:style w:type="table" w:styleId="Svijetlosjenanje-Isticanje5">
    <w:name w:val="Light Shading Accent 5"/>
    <w:basedOn w:val="Obinatablica"/>
    <w:uiPriority w:val="60"/>
    <w:rsid w:val="00F5177F"/>
    <w:rPr>
      <w:color w:val="DE5F0A" w:themeColor="accent5" w:themeShade="BF"/>
    </w:rPr>
    <w:tblPr>
      <w:tblStyleRowBandSize w:val="1"/>
      <w:tblStyleColBandSize w:val="1"/>
      <w:tblBorders>
        <w:top w:val="single" w:sz="8" w:space="0" w:color="F68A42" w:themeColor="accent5"/>
        <w:bottom w:val="single" w:sz="8" w:space="0" w:color="F68A42" w:themeColor="accent5"/>
      </w:tblBorders>
    </w:tblPr>
    <w:tblStylePr w:type="firstRow">
      <w:pPr>
        <w:spacing w:before="0" w:after="0" w:line="240" w:lineRule="auto"/>
      </w:pPr>
      <w:rPr>
        <w:b/>
        <w:bCs/>
      </w:rPr>
      <w:tblPr/>
      <w:tcPr>
        <w:tcBorders>
          <w:top w:val="single" w:sz="8" w:space="0" w:color="F68A42" w:themeColor="accent5"/>
          <w:left w:val="nil"/>
          <w:bottom w:val="single" w:sz="8" w:space="0" w:color="F68A42" w:themeColor="accent5"/>
          <w:right w:val="nil"/>
          <w:insideH w:val="nil"/>
          <w:insideV w:val="nil"/>
        </w:tcBorders>
      </w:tcPr>
    </w:tblStylePr>
    <w:tblStylePr w:type="lastRow">
      <w:pPr>
        <w:spacing w:before="0" w:after="0" w:line="240" w:lineRule="auto"/>
      </w:pPr>
      <w:rPr>
        <w:b/>
        <w:bCs/>
      </w:rPr>
      <w:tblPr/>
      <w:tcPr>
        <w:tcBorders>
          <w:top w:val="single" w:sz="8" w:space="0" w:color="F68A42" w:themeColor="accent5"/>
          <w:left w:val="nil"/>
          <w:bottom w:val="single" w:sz="8" w:space="0" w:color="F6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2D0" w:themeFill="accent5" w:themeFillTint="3F"/>
      </w:tcPr>
    </w:tblStylePr>
    <w:tblStylePr w:type="band1Horz">
      <w:tblPr/>
      <w:tcPr>
        <w:tcBorders>
          <w:left w:val="nil"/>
          <w:right w:val="nil"/>
          <w:insideH w:val="nil"/>
          <w:insideV w:val="nil"/>
        </w:tcBorders>
        <w:shd w:val="clear" w:color="auto" w:fill="FCE2D0" w:themeFill="accent5" w:themeFillTint="3F"/>
      </w:tcPr>
    </w:tblStylePr>
  </w:style>
  <w:style w:type="table" w:styleId="Srednjareetka3-Isticanje1">
    <w:name w:val="Medium Grid 3 Accent 1"/>
    <w:basedOn w:val="Obinatablica"/>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A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ABB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ABB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ABB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ABB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D5D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D5D8" w:themeFill="accent1" w:themeFillTint="7F"/>
      </w:tcPr>
    </w:tblStylePr>
  </w:style>
  <w:style w:type="paragraph" w:customStyle="1" w:styleId="Aufzhlung">
    <w:name w:val="Aufzählung"/>
    <w:basedOn w:val="Grafikeoznake"/>
    <w:rsid w:val="0093166C"/>
    <w:pPr>
      <w:numPr>
        <w:numId w:val="0"/>
      </w:numPr>
      <w:spacing w:after="240" w:line="280" w:lineRule="atLeast"/>
      <w:ind w:left="284" w:hanging="284"/>
    </w:pPr>
    <w:rPr>
      <w:rFonts w:ascii="Arial" w:hAnsi="Arial"/>
      <w:lang w:eastAsia="de-DE"/>
    </w:rPr>
  </w:style>
  <w:style w:type="paragraph" w:styleId="Grafikeoznake">
    <w:name w:val="List Bullet"/>
    <w:basedOn w:val="Normal"/>
    <w:uiPriority w:val="99"/>
    <w:semiHidden/>
    <w:unhideWhenUsed/>
    <w:rsid w:val="0093166C"/>
    <w:pPr>
      <w:numPr>
        <w:numId w:val="3"/>
      </w:numPr>
      <w:contextualSpacing/>
    </w:pPr>
  </w:style>
  <w:style w:type="paragraph" w:styleId="Naslov">
    <w:name w:val="Title"/>
    <w:basedOn w:val="Normal"/>
    <w:next w:val="Normal"/>
    <w:link w:val="NaslovChar"/>
    <w:uiPriority w:val="10"/>
    <w:rsid w:val="007E62DC"/>
    <w:pPr>
      <w:pBdr>
        <w:bottom w:val="single" w:sz="8" w:space="4" w:color="90ABB1" w:themeColor="accent1"/>
      </w:pBdr>
      <w:spacing w:after="300" w:line="240" w:lineRule="auto"/>
      <w:contextualSpacing/>
    </w:pPr>
    <w:rPr>
      <w:rFonts w:asciiTheme="majorHAnsi" w:eastAsiaTheme="majorEastAsia" w:hAnsiTheme="majorHAnsi" w:cstheme="majorBidi"/>
      <w:color w:val="080808" w:themeColor="text2" w:themeShade="BF"/>
      <w:spacing w:val="5"/>
      <w:kern w:val="28"/>
      <w:sz w:val="52"/>
      <w:szCs w:val="52"/>
    </w:rPr>
  </w:style>
  <w:style w:type="character" w:customStyle="1" w:styleId="NaslovChar">
    <w:name w:val="Naslov Char"/>
    <w:basedOn w:val="Zadanifontodlomka"/>
    <w:link w:val="Naslov"/>
    <w:uiPriority w:val="10"/>
    <w:rsid w:val="007E62DC"/>
    <w:rPr>
      <w:rFonts w:asciiTheme="majorHAnsi" w:eastAsiaTheme="majorEastAsia" w:hAnsiTheme="majorHAnsi" w:cstheme="majorBidi"/>
      <w:color w:val="080808" w:themeColor="text2" w:themeShade="BF"/>
      <w:spacing w:val="5"/>
      <w:kern w:val="28"/>
      <w:sz w:val="52"/>
      <w:szCs w:val="52"/>
      <w:lang w:val="de-AT" w:eastAsia="en-US"/>
    </w:rPr>
  </w:style>
  <w:style w:type="paragraph" w:customStyle="1" w:styleId="CommsHeading1">
    <w:name w:val="Comms Heading 1"/>
    <w:basedOn w:val="Naslov1"/>
    <w:link w:val="CommsHeading1Char"/>
    <w:rsid w:val="007E62DC"/>
    <w:pPr>
      <w:numPr>
        <w:numId w:val="2"/>
      </w:numPr>
      <w:pBdr>
        <w:bottom w:val="single" w:sz="4" w:space="1" w:color="63858D" w:themeColor="accent1" w:themeShade="BF"/>
      </w:pBdr>
      <w:spacing w:before="480" w:after="240"/>
    </w:pPr>
    <w:rPr>
      <w:rFonts w:ascii="Trebuchet MS" w:hAnsi="Trebuchet MS"/>
      <w:color w:val="63858D" w:themeColor="accent1" w:themeShade="BF"/>
    </w:rPr>
  </w:style>
  <w:style w:type="paragraph" w:customStyle="1" w:styleId="CommsHeading11">
    <w:name w:val="Comms Heading 1.1"/>
    <w:basedOn w:val="Naslov2"/>
    <w:link w:val="CommsHeading11Char"/>
    <w:rsid w:val="007E62DC"/>
    <w:pPr>
      <w:numPr>
        <w:numId w:val="0"/>
      </w:numPr>
      <w:spacing w:before="360"/>
      <w:ind w:left="1789" w:hanging="360"/>
    </w:pPr>
    <w:rPr>
      <w:rFonts w:ascii="Trebuchet MS" w:hAnsi="Trebuchet MS"/>
      <w:color w:val="63858D" w:themeColor="accent1" w:themeShade="BF"/>
    </w:rPr>
  </w:style>
  <w:style w:type="character" w:customStyle="1" w:styleId="Naslov1Char">
    <w:name w:val="Naslov 1 Char"/>
    <w:basedOn w:val="Zadanifontodlomka"/>
    <w:link w:val="Naslov1"/>
    <w:rsid w:val="00877C37"/>
    <w:rPr>
      <w:rFonts w:ascii="Arial Rounded MT Bold" w:hAnsi="Arial Rounded MT Bold"/>
      <w:b/>
      <w:bCs/>
      <w:color w:val="90ABB1" w:themeColor="accent1"/>
      <w:sz w:val="28"/>
      <w:lang w:val="en-GB"/>
    </w:rPr>
  </w:style>
  <w:style w:type="character" w:customStyle="1" w:styleId="CommsHeading1Char">
    <w:name w:val="Comms Heading 1 Char"/>
    <w:basedOn w:val="Naslov1Char"/>
    <w:link w:val="CommsHeading1"/>
    <w:rsid w:val="007E62DC"/>
    <w:rPr>
      <w:rFonts w:ascii="Trebuchet MS" w:hAnsi="Trebuchet MS"/>
      <w:b/>
      <w:bCs/>
      <w:color w:val="63858D" w:themeColor="accent1" w:themeShade="BF"/>
      <w:sz w:val="28"/>
      <w:lang w:val="en-GB"/>
    </w:rPr>
  </w:style>
  <w:style w:type="paragraph" w:customStyle="1" w:styleId="CommsHeading111">
    <w:name w:val="Comms Heading 1.1.1"/>
    <w:basedOn w:val="Naslov3"/>
    <w:link w:val="CommsHeading111Char"/>
    <w:rsid w:val="007E62DC"/>
    <w:pPr>
      <w:numPr>
        <w:numId w:val="0"/>
      </w:numPr>
      <w:ind w:left="1789" w:hanging="360"/>
    </w:pPr>
    <w:rPr>
      <w:rFonts w:ascii="Trebuchet MS" w:hAnsi="Trebuchet MS"/>
      <w:color w:val="63858D" w:themeColor="accent1" w:themeShade="BF"/>
    </w:rPr>
  </w:style>
  <w:style w:type="character" w:customStyle="1" w:styleId="Naslov2Char">
    <w:name w:val="Naslov 2 Char"/>
    <w:basedOn w:val="Zadanifontodlomka"/>
    <w:link w:val="Naslov2"/>
    <w:rsid w:val="00877C37"/>
    <w:rPr>
      <w:rFonts w:ascii="Arial Rounded MT Bold" w:hAnsi="Arial Rounded MT Bold"/>
      <w:b/>
      <w:bCs/>
      <w:iCs/>
      <w:color w:val="90ABB1" w:themeColor="accent1"/>
      <w:sz w:val="24"/>
      <w:lang w:val="en-GB"/>
    </w:rPr>
  </w:style>
  <w:style w:type="character" w:customStyle="1" w:styleId="CommsHeading11Char">
    <w:name w:val="Comms Heading 1.1 Char"/>
    <w:basedOn w:val="Naslov2Char"/>
    <w:link w:val="CommsHeading11"/>
    <w:rsid w:val="007E62DC"/>
    <w:rPr>
      <w:rFonts w:ascii="Trebuchet MS" w:eastAsia="Calibri" w:hAnsi="Trebuchet MS"/>
      <w:b/>
      <w:bCs/>
      <w:iCs/>
      <w:color w:val="63858D" w:themeColor="accent1" w:themeShade="BF"/>
      <w:sz w:val="24"/>
      <w:szCs w:val="22"/>
      <w:lang w:val="en-GB"/>
    </w:rPr>
  </w:style>
  <w:style w:type="paragraph" w:customStyle="1" w:styleId="CommsTextNormal">
    <w:name w:val="Comms Text Normal"/>
    <w:basedOn w:val="Normal"/>
    <w:link w:val="CommsTextNormalChar"/>
    <w:rsid w:val="007E62DC"/>
  </w:style>
  <w:style w:type="character" w:customStyle="1" w:styleId="Naslov3Char">
    <w:name w:val="Naslov 3 Char"/>
    <w:basedOn w:val="Zadanifontodlomka"/>
    <w:link w:val="Naslov3"/>
    <w:rsid w:val="00877C37"/>
    <w:rPr>
      <w:rFonts w:ascii="Arial Rounded MT Bold" w:hAnsi="Arial Rounded MT Bold"/>
      <w:b/>
      <w:iCs/>
      <w:color w:val="90ABB1" w:themeColor="accent1"/>
      <w:lang w:val="en-GB"/>
    </w:rPr>
  </w:style>
  <w:style w:type="character" w:customStyle="1" w:styleId="CommsHeading111Char">
    <w:name w:val="Comms Heading 1.1.1 Char"/>
    <w:basedOn w:val="Naslov3Char"/>
    <w:link w:val="CommsHeading111"/>
    <w:rsid w:val="007E62DC"/>
    <w:rPr>
      <w:rFonts w:ascii="Trebuchet MS" w:eastAsia="Calibri" w:hAnsi="Trebuchet MS"/>
      <w:b/>
      <w:iCs/>
      <w:color w:val="63858D" w:themeColor="accent1" w:themeShade="BF"/>
      <w:lang w:val="en-GB"/>
    </w:rPr>
  </w:style>
  <w:style w:type="paragraph" w:styleId="TOCNaslov">
    <w:name w:val="TOC Heading"/>
    <w:basedOn w:val="Naslov1"/>
    <w:next w:val="Normal"/>
    <w:uiPriority w:val="39"/>
    <w:unhideWhenUsed/>
    <w:qFormat/>
    <w:rsid w:val="007E62DC"/>
    <w:pPr>
      <w:keepLines/>
      <w:numPr>
        <w:numId w:val="0"/>
      </w:numPr>
      <w:spacing w:before="480" w:after="0"/>
      <w:outlineLvl w:val="9"/>
    </w:pPr>
    <w:rPr>
      <w:rFonts w:asciiTheme="majorHAnsi" w:eastAsiaTheme="majorEastAsia" w:hAnsiTheme="majorHAnsi" w:cstheme="majorBidi"/>
      <w:color w:val="63858D" w:themeColor="accent1" w:themeShade="BF"/>
      <w:szCs w:val="28"/>
      <w:lang w:val="en-US" w:eastAsia="ja-JP"/>
    </w:rPr>
  </w:style>
  <w:style w:type="character" w:customStyle="1" w:styleId="CommsTextNormalChar">
    <w:name w:val="Comms Text Normal Char"/>
    <w:basedOn w:val="Zadanifontodlomka"/>
    <w:link w:val="CommsTextNormal"/>
    <w:rsid w:val="007E62DC"/>
    <w:rPr>
      <w:rFonts w:ascii="Trebuchet MS" w:eastAsia="Calibri" w:hAnsi="Trebuchet MS"/>
      <w:lang w:val="de-AT" w:eastAsia="en-US"/>
    </w:rPr>
  </w:style>
  <w:style w:type="paragraph" w:styleId="Sadraj1">
    <w:name w:val="toc 1"/>
    <w:basedOn w:val="Normal"/>
    <w:next w:val="Normal"/>
    <w:autoRedefine/>
    <w:uiPriority w:val="39"/>
    <w:unhideWhenUsed/>
    <w:rsid w:val="00051D5A"/>
    <w:pPr>
      <w:tabs>
        <w:tab w:val="left" w:pos="284"/>
        <w:tab w:val="right" w:leader="dot" w:pos="8505"/>
      </w:tabs>
      <w:spacing w:line="240" w:lineRule="auto"/>
    </w:pPr>
    <w:rPr>
      <w:b/>
      <w:bCs/>
      <w:caps/>
      <w:noProof/>
    </w:rPr>
  </w:style>
  <w:style w:type="paragraph" w:styleId="Sadraj2">
    <w:name w:val="toc 2"/>
    <w:basedOn w:val="Normal"/>
    <w:next w:val="Normal"/>
    <w:autoRedefine/>
    <w:uiPriority w:val="39"/>
    <w:unhideWhenUsed/>
    <w:rsid w:val="00D52D6B"/>
    <w:pPr>
      <w:tabs>
        <w:tab w:val="right" w:leader="dot" w:pos="9628"/>
      </w:tabs>
      <w:spacing w:line="240" w:lineRule="auto"/>
      <w:ind w:right="340"/>
    </w:pPr>
    <w:rPr>
      <w:rFonts w:asciiTheme="minorHAnsi" w:hAnsiTheme="minorHAnsi"/>
      <w:b/>
      <w:bCs/>
    </w:rPr>
  </w:style>
  <w:style w:type="paragraph" w:customStyle="1" w:styleId="ListDash1">
    <w:name w:val="List Dash 1"/>
    <w:basedOn w:val="Text1"/>
    <w:rsid w:val="007E62DC"/>
    <w:pPr>
      <w:numPr>
        <w:numId w:val="4"/>
      </w:numPr>
      <w:tabs>
        <w:tab w:val="clear" w:pos="765"/>
        <w:tab w:val="num" w:pos="1069"/>
      </w:tabs>
      <w:ind w:left="1069" w:hanging="360"/>
    </w:pPr>
  </w:style>
  <w:style w:type="paragraph" w:customStyle="1" w:styleId="FSHeading3">
    <w:name w:val="FS Heading 3"/>
    <w:basedOn w:val="Normal"/>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Bezproreda"/>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Bezproreda">
    <w:name w:val="No Spacing"/>
    <w:link w:val="BezproredaChar"/>
    <w:uiPriority w:val="1"/>
    <w:qFormat/>
    <w:rsid w:val="007E62DC"/>
    <w:rPr>
      <w:rFonts w:ascii="Calibri" w:eastAsia="Calibri" w:hAnsi="Calibri"/>
      <w:sz w:val="22"/>
      <w:szCs w:val="22"/>
    </w:rPr>
  </w:style>
  <w:style w:type="paragraph" w:styleId="Sadraj3">
    <w:name w:val="toc 3"/>
    <w:basedOn w:val="Normal"/>
    <w:next w:val="Normal"/>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Tekstfusnote">
    <w:name w:val="footnote text"/>
    <w:aliases w:val="CE-Footnote,Footnote"/>
    <w:basedOn w:val="CE-StandardText"/>
    <w:link w:val="TekstfusnoteChar"/>
    <w:uiPriority w:val="99"/>
    <w:unhideWhenUsed/>
    <w:qFormat/>
    <w:rsid w:val="00CD5462"/>
    <w:pPr>
      <w:spacing w:before="60" w:line="240" w:lineRule="auto"/>
    </w:pPr>
    <w:rPr>
      <w:color w:val="7F7F7F" w:themeColor="text1" w:themeTint="80"/>
      <w:sz w:val="17"/>
    </w:rPr>
  </w:style>
  <w:style w:type="character" w:customStyle="1" w:styleId="TekstfusnoteChar">
    <w:name w:val="Tekst fusnote Char"/>
    <w:aliases w:val="CE-Footnote Char,Footnote Char"/>
    <w:basedOn w:val="Zadanifontodlomka"/>
    <w:link w:val="Tekstfusnote"/>
    <w:uiPriority w:val="99"/>
    <w:rsid w:val="00CD5462"/>
    <w:rPr>
      <w:rFonts w:ascii="Trebuchet MS" w:hAnsi="Trebuchet MS"/>
      <w:color w:val="7F7F7F" w:themeColor="text1" w:themeTint="80"/>
      <w:sz w:val="17"/>
      <w:szCs w:val="18"/>
      <w:lang w:val="en-GB"/>
    </w:rPr>
  </w:style>
  <w:style w:type="character" w:styleId="Referencafusnote">
    <w:name w:val="footnote reference"/>
    <w:aliases w:val="ESPON Footnote No"/>
    <w:basedOn w:val="Zadanifontodlomka"/>
    <w:uiPriority w:val="99"/>
    <w:semiHidden/>
    <w:unhideWhenUsed/>
    <w:rsid w:val="007E62DC"/>
    <w:rPr>
      <w:vertAlign w:val="superscript"/>
    </w:rPr>
  </w:style>
  <w:style w:type="paragraph" w:styleId="Sadraj4">
    <w:name w:val="toc 4"/>
    <w:basedOn w:val="Normal"/>
    <w:next w:val="Normal"/>
    <w:autoRedefine/>
    <w:uiPriority w:val="39"/>
    <w:unhideWhenUsed/>
    <w:rsid w:val="006A676A"/>
    <w:pPr>
      <w:ind w:left="440"/>
    </w:pPr>
    <w:rPr>
      <w:rFonts w:asciiTheme="minorHAnsi" w:hAnsiTheme="minorHAnsi"/>
    </w:rPr>
  </w:style>
  <w:style w:type="paragraph" w:styleId="Sadraj5">
    <w:name w:val="toc 5"/>
    <w:basedOn w:val="Normal"/>
    <w:next w:val="Normal"/>
    <w:autoRedefine/>
    <w:uiPriority w:val="39"/>
    <w:unhideWhenUsed/>
    <w:rsid w:val="006A676A"/>
    <w:pPr>
      <w:ind w:left="660"/>
    </w:pPr>
    <w:rPr>
      <w:rFonts w:asciiTheme="minorHAnsi" w:hAnsiTheme="minorHAnsi"/>
    </w:rPr>
  </w:style>
  <w:style w:type="paragraph" w:styleId="Sadraj6">
    <w:name w:val="toc 6"/>
    <w:basedOn w:val="Normal"/>
    <w:next w:val="Normal"/>
    <w:autoRedefine/>
    <w:uiPriority w:val="39"/>
    <w:unhideWhenUsed/>
    <w:rsid w:val="006A676A"/>
    <w:pPr>
      <w:ind w:left="880"/>
    </w:pPr>
    <w:rPr>
      <w:rFonts w:asciiTheme="minorHAnsi" w:hAnsiTheme="minorHAnsi"/>
    </w:rPr>
  </w:style>
  <w:style w:type="paragraph" w:styleId="Sadraj7">
    <w:name w:val="toc 7"/>
    <w:basedOn w:val="Normal"/>
    <w:next w:val="Normal"/>
    <w:autoRedefine/>
    <w:uiPriority w:val="39"/>
    <w:unhideWhenUsed/>
    <w:rsid w:val="006A676A"/>
    <w:pPr>
      <w:ind w:left="1100"/>
    </w:pPr>
    <w:rPr>
      <w:rFonts w:asciiTheme="minorHAnsi" w:hAnsiTheme="minorHAnsi"/>
    </w:rPr>
  </w:style>
  <w:style w:type="paragraph" w:styleId="Sadraj8">
    <w:name w:val="toc 8"/>
    <w:basedOn w:val="Normal"/>
    <w:next w:val="Normal"/>
    <w:autoRedefine/>
    <w:uiPriority w:val="39"/>
    <w:unhideWhenUsed/>
    <w:rsid w:val="006A676A"/>
    <w:pPr>
      <w:ind w:left="1320"/>
    </w:pPr>
    <w:rPr>
      <w:rFonts w:asciiTheme="minorHAnsi" w:hAnsiTheme="minorHAnsi"/>
    </w:rPr>
  </w:style>
  <w:style w:type="paragraph" w:styleId="Sadraj9">
    <w:name w:val="toc 9"/>
    <w:basedOn w:val="Normal"/>
    <w:next w:val="Normal"/>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5"/>
      </w:numPr>
      <w:tabs>
        <w:tab w:val="clear" w:pos="720"/>
      </w:tabs>
      <w:spacing w:before="120" w:after="120"/>
    </w:pPr>
  </w:style>
  <w:style w:type="paragraph" w:customStyle="1" w:styleId="IM2">
    <w:name w:val="IM 2"/>
    <w:basedOn w:val="CommsHeading11"/>
    <w:link w:val="IM2Zchn"/>
    <w:rsid w:val="00605FB6"/>
    <w:pPr>
      <w:numPr>
        <w:numId w:val="6"/>
      </w:numPr>
      <w:spacing w:before="120" w:after="120"/>
    </w:pPr>
    <w:rPr>
      <w:szCs w:val="24"/>
    </w:rPr>
  </w:style>
  <w:style w:type="character" w:customStyle="1" w:styleId="IM1Zchn">
    <w:name w:val="IM 1 Zchn"/>
    <w:basedOn w:val="CommsHeading1Char"/>
    <w:link w:val="IM1"/>
    <w:rsid w:val="00605FB6"/>
    <w:rPr>
      <w:rFonts w:ascii="Trebuchet MS" w:hAnsi="Trebuchet MS"/>
      <w:b/>
      <w:bCs/>
      <w:color w:val="63858D" w:themeColor="accent1" w:themeShade="BF"/>
      <w:sz w:val="28"/>
      <w:lang w:val="en-GB"/>
    </w:rPr>
  </w:style>
  <w:style w:type="paragraph" w:customStyle="1" w:styleId="IM3">
    <w:name w:val="IM 3"/>
    <w:basedOn w:val="CommsHeading11"/>
    <w:link w:val="IM3Zchn"/>
    <w:rsid w:val="00605FB6"/>
    <w:pPr>
      <w:numPr>
        <w:numId w:val="7"/>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63858D" w:themeColor="accent1" w:themeShade="BF"/>
      <w:sz w:val="24"/>
      <w:szCs w:val="24"/>
      <w:lang w:val="en-GB"/>
    </w:rPr>
  </w:style>
  <w:style w:type="character" w:customStyle="1" w:styleId="IM3Zchn">
    <w:name w:val="IM 3 Zchn"/>
    <w:basedOn w:val="CommsHeading11Char"/>
    <w:link w:val="IM3"/>
    <w:rsid w:val="00605FB6"/>
    <w:rPr>
      <w:rFonts w:ascii="Trebuchet MS" w:eastAsia="Calibri" w:hAnsi="Trebuchet MS"/>
      <w:b w:val="0"/>
      <w:bCs/>
      <w:iCs/>
      <w:color w:val="63858D" w:themeColor="accent1" w:themeShade="BF"/>
      <w:sz w:val="24"/>
      <w:szCs w:val="24"/>
      <w:lang w:val="en-GB"/>
    </w:rPr>
  </w:style>
  <w:style w:type="table" w:styleId="Srednjesjenanje1-Isticanje1">
    <w:name w:val="Medium Shading 1 Accent 1"/>
    <w:basedOn w:val="Obinatablica"/>
    <w:uiPriority w:val="63"/>
    <w:rsid w:val="001722CD"/>
    <w:rPr>
      <w:rFonts w:asciiTheme="minorHAnsi" w:eastAsiaTheme="minorHAnsi" w:hAnsiTheme="minorHAnsi" w:cstheme="minorBidi"/>
      <w:sz w:val="22"/>
      <w:szCs w:val="22"/>
    </w:rPr>
    <w:tblPr>
      <w:tblStyleRowBandSize w:val="1"/>
      <w:tblStyleColBandSize w:val="1"/>
      <w:tblBorders>
        <w:top w:val="single" w:sz="8" w:space="0" w:color="ABC0C4" w:themeColor="accent1" w:themeTint="BF"/>
        <w:left w:val="single" w:sz="8" w:space="0" w:color="ABC0C4" w:themeColor="accent1" w:themeTint="BF"/>
        <w:bottom w:val="single" w:sz="8" w:space="0" w:color="ABC0C4" w:themeColor="accent1" w:themeTint="BF"/>
        <w:right w:val="single" w:sz="8" w:space="0" w:color="ABC0C4" w:themeColor="accent1" w:themeTint="BF"/>
        <w:insideH w:val="single" w:sz="8" w:space="0" w:color="ABC0C4" w:themeColor="accent1" w:themeTint="BF"/>
      </w:tblBorders>
    </w:tblPr>
    <w:tblStylePr w:type="firstRow">
      <w:pPr>
        <w:spacing w:before="0" w:after="0" w:line="240" w:lineRule="auto"/>
      </w:pPr>
      <w:rPr>
        <w:b/>
        <w:bCs/>
        <w:color w:val="FFFFFF" w:themeColor="background1"/>
      </w:rPr>
      <w:tblPr/>
      <w:tcPr>
        <w:tcBorders>
          <w:top w:val="single" w:sz="8" w:space="0" w:color="ABC0C4" w:themeColor="accent1" w:themeTint="BF"/>
          <w:left w:val="single" w:sz="8" w:space="0" w:color="ABC0C4" w:themeColor="accent1" w:themeTint="BF"/>
          <w:bottom w:val="single" w:sz="8" w:space="0" w:color="ABC0C4" w:themeColor="accent1" w:themeTint="BF"/>
          <w:right w:val="single" w:sz="8" w:space="0" w:color="ABC0C4" w:themeColor="accent1" w:themeTint="BF"/>
          <w:insideH w:val="nil"/>
          <w:insideV w:val="nil"/>
        </w:tcBorders>
        <w:shd w:val="clear" w:color="auto" w:fill="90ABB1" w:themeFill="accent1"/>
      </w:tcPr>
    </w:tblStylePr>
    <w:tblStylePr w:type="lastRow">
      <w:pPr>
        <w:spacing w:before="0" w:after="0" w:line="240" w:lineRule="auto"/>
      </w:pPr>
      <w:rPr>
        <w:b/>
        <w:bCs/>
      </w:rPr>
      <w:tblPr/>
      <w:tcPr>
        <w:tcBorders>
          <w:top w:val="double" w:sz="6" w:space="0" w:color="ABC0C4" w:themeColor="accent1" w:themeTint="BF"/>
          <w:left w:val="single" w:sz="8" w:space="0" w:color="ABC0C4" w:themeColor="accent1" w:themeTint="BF"/>
          <w:bottom w:val="single" w:sz="8" w:space="0" w:color="ABC0C4" w:themeColor="accent1" w:themeTint="BF"/>
          <w:right w:val="single" w:sz="8" w:space="0" w:color="ABC0C4" w:themeColor="accent1" w:themeTint="BF"/>
          <w:insideH w:val="nil"/>
          <w:insideV w:val="nil"/>
        </w:tcBorders>
      </w:tcPr>
    </w:tblStylePr>
    <w:tblStylePr w:type="firstCol">
      <w:rPr>
        <w:b/>
        <w:bCs/>
      </w:rPr>
    </w:tblStylePr>
    <w:tblStylePr w:type="lastCol">
      <w:rPr>
        <w:b/>
        <w:bCs/>
      </w:rPr>
    </w:tblStylePr>
    <w:tblStylePr w:type="band1Vert">
      <w:tblPr/>
      <w:tcPr>
        <w:shd w:val="clear" w:color="auto" w:fill="E3EAEB" w:themeFill="accent1" w:themeFillTint="3F"/>
      </w:tcPr>
    </w:tblStylePr>
    <w:tblStylePr w:type="band1Horz">
      <w:tblPr/>
      <w:tcPr>
        <w:tcBorders>
          <w:insideH w:val="nil"/>
          <w:insideV w:val="nil"/>
        </w:tcBorders>
        <w:shd w:val="clear" w:color="auto" w:fill="E3EAEB" w:themeFill="accent1" w:themeFillTint="3F"/>
      </w:tcPr>
    </w:tblStylePr>
    <w:tblStylePr w:type="band2Horz">
      <w:tblPr/>
      <w:tcPr>
        <w:tcBorders>
          <w:insideH w:val="nil"/>
          <w:insideV w:val="nil"/>
        </w:tcBorders>
      </w:tcPr>
    </w:tblStylePr>
  </w:style>
  <w:style w:type="character" w:customStyle="1" w:styleId="TijelotekstaChar">
    <w:name w:val="Tijelo teksta Char"/>
    <w:basedOn w:val="Zadanifontodlomka"/>
    <w:link w:val="Tijeloteksta"/>
    <w:semiHidden/>
    <w:rsid w:val="0085654A"/>
    <w:rPr>
      <w:rFonts w:ascii="Verdana" w:eastAsia="Calibri" w:hAnsi="Verdana"/>
      <w:szCs w:val="22"/>
    </w:rPr>
  </w:style>
  <w:style w:type="character" w:customStyle="1" w:styleId="OdlomakpopisaChar">
    <w:name w:val="Odlomak popisa Char"/>
    <w:link w:val="Odlomakpopisa"/>
    <w:uiPriority w:val="34"/>
    <w:rsid w:val="00DC05A9"/>
    <w:rPr>
      <w:rFonts w:ascii="Calibri" w:eastAsia="Calibri" w:hAnsi="Calibri"/>
      <w:sz w:val="22"/>
      <w:szCs w:val="22"/>
      <w:lang w:val="de-AT"/>
    </w:rPr>
  </w:style>
  <w:style w:type="paragraph" w:styleId="Tijeloteksta3">
    <w:name w:val="Body Text 3"/>
    <w:basedOn w:val="Normal"/>
    <w:link w:val="Tijeloteksta3Char"/>
    <w:uiPriority w:val="99"/>
    <w:unhideWhenUsed/>
    <w:rsid w:val="00515CB1"/>
    <w:pPr>
      <w:spacing w:after="120"/>
    </w:pPr>
    <w:rPr>
      <w:sz w:val="16"/>
      <w:szCs w:val="16"/>
    </w:rPr>
  </w:style>
  <w:style w:type="character" w:customStyle="1" w:styleId="Tijeloteksta3Char">
    <w:name w:val="Tijelo teksta 3 Char"/>
    <w:basedOn w:val="Zadanifontodlomka"/>
    <w:link w:val="Tijeloteksta3"/>
    <w:uiPriority w:val="99"/>
    <w:rsid w:val="00515CB1"/>
    <w:rPr>
      <w:rFonts w:ascii="Calibri" w:eastAsia="Calibri" w:hAnsi="Calibri"/>
      <w:sz w:val="16"/>
      <w:szCs w:val="16"/>
      <w:lang w:val="de-AT"/>
    </w:rPr>
  </w:style>
  <w:style w:type="character" w:customStyle="1" w:styleId="ZaglavljeChar">
    <w:name w:val="Zaglavlje Char"/>
    <w:basedOn w:val="Zadanifontodlomka"/>
    <w:link w:val="Zaglavlje"/>
    <w:uiPriority w:val="99"/>
    <w:rsid w:val="00A0196F"/>
    <w:rPr>
      <w:rFonts w:ascii="Verdana" w:eastAsia="Calibri" w:hAnsi="Verdana"/>
      <w:sz w:val="16"/>
      <w:szCs w:val="22"/>
      <w:lang w:val="de-AT"/>
    </w:rPr>
  </w:style>
  <w:style w:type="character" w:customStyle="1" w:styleId="PodnojeChar">
    <w:name w:val="Podnožje Char"/>
    <w:basedOn w:val="Zadanifontodlomka"/>
    <w:link w:val="Podnoje"/>
    <w:uiPriority w:val="99"/>
    <w:rsid w:val="00311673"/>
    <w:rPr>
      <w:rFonts w:ascii="Verdana" w:eastAsia="Calibri" w:hAnsi="Verdana"/>
      <w:noProof/>
      <w:sz w:val="16"/>
      <w:szCs w:val="22"/>
    </w:rPr>
  </w:style>
  <w:style w:type="paragraph" w:customStyle="1" w:styleId="bulletpoints">
    <w:name w:val="bulletpoints"/>
    <w:basedOn w:val="CE-BulletPoint1"/>
    <w:link w:val="bulletpointsZchn"/>
    <w:rsid w:val="00DE42C2"/>
  </w:style>
  <w:style w:type="paragraph" w:customStyle="1" w:styleId="bulletpoints2">
    <w:name w:val="bulletpoints 2"/>
    <w:basedOn w:val="CE-BulletPoint1"/>
    <w:link w:val="bulletpoints2Zchn"/>
    <w:rsid w:val="00DE42C2"/>
    <w:pPr>
      <w:numPr>
        <w:ilvl w:val="1"/>
      </w:numPr>
      <w:tabs>
        <w:tab w:val="left" w:pos="851"/>
      </w:tabs>
      <w:ind w:left="993" w:hanging="426"/>
    </w:pPr>
  </w:style>
  <w:style w:type="character" w:customStyle="1" w:styleId="bulletpointsZchn">
    <w:name w:val="bulletpoints Zchn"/>
    <w:basedOn w:val="OdlomakpopisaChar"/>
    <w:link w:val="bulletpoints"/>
    <w:rsid w:val="00DE42C2"/>
    <w:rPr>
      <w:rFonts w:ascii="Trebuchet MS" w:eastAsia="Calibri" w:hAnsi="Trebuchet MS"/>
      <w:color w:val="000000" w:themeColor="text1"/>
      <w:sz w:val="22"/>
      <w:szCs w:val="18"/>
      <w:lang w:val="en-GB"/>
    </w:rPr>
  </w:style>
  <w:style w:type="table" w:styleId="Tamnipopis-Isticanje1">
    <w:name w:val="Dark List Accent 1"/>
    <w:basedOn w:val="Obinatablica"/>
    <w:uiPriority w:val="70"/>
    <w:rsid w:val="00925502"/>
    <w:rPr>
      <w:color w:val="FFFFFF" w:themeColor="background1"/>
    </w:rPr>
    <w:tblPr>
      <w:tblStyleRowBandSize w:val="1"/>
      <w:tblStyleColBandSize w:val="1"/>
    </w:tblPr>
    <w:tcPr>
      <w:shd w:val="clear" w:color="auto" w:fill="90ABB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85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58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58D" w:themeFill="accent1" w:themeFillShade="BF"/>
      </w:tcPr>
    </w:tblStylePr>
    <w:tblStylePr w:type="band1Vert">
      <w:tblPr/>
      <w:tcPr>
        <w:tcBorders>
          <w:top w:val="nil"/>
          <w:left w:val="nil"/>
          <w:bottom w:val="nil"/>
          <w:right w:val="nil"/>
          <w:insideH w:val="nil"/>
          <w:insideV w:val="nil"/>
        </w:tcBorders>
        <w:shd w:val="clear" w:color="auto" w:fill="63858D" w:themeFill="accent1" w:themeFillShade="BF"/>
      </w:tcPr>
    </w:tblStylePr>
    <w:tblStylePr w:type="band1Horz">
      <w:tblPr/>
      <w:tcPr>
        <w:tcBorders>
          <w:top w:val="nil"/>
          <w:left w:val="nil"/>
          <w:bottom w:val="nil"/>
          <w:right w:val="nil"/>
          <w:insideH w:val="nil"/>
          <w:insideV w:val="nil"/>
        </w:tcBorders>
        <w:shd w:val="clear" w:color="auto" w:fill="63858D" w:themeFill="accent1" w:themeFillShade="BF"/>
      </w:tcPr>
    </w:tblStylePr>
  </w:style>
  <w:style w:type="character" w:customStyle="1" w:styleId="bulletpoints2Zchn">
    <w:name w:val="bulletpoints 2 Zchn"/>
    <w:basedOn w:val="OdlomakpopisaChar"/>
    <w:link w:val="bulletpoints2"/>
    <w:rsid w:val="00DE42C2"/>
    <w:rPr>
      <w:rFonts w:ascii="Trebuchet MS" w:eastAsia="Calibri" w:hAnsi="Trebuchet MS"/>
      <w:color w:val="000000" w:themeColor="text1"/>
      <w:sz w:val="22"/>
      <w:szCs w:val="18"/>
      <w:lang w:val="en-GB"/>
    </w:rPr>
  </w:style>
  <w:style w:type="table" w:styleId="Srednjareetka3-Isticanje6">
    <w:name w:val="Medium Grid 3 Accent 6"/>
    <w:basedOn w:val="Obinatablica"/>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DCF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E6EB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E6EB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E6EB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E6EB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B9F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B9F3" w:themeFill="accent6" w:themeFillTint="7F"/>
      </w:tcPr>
    </w:tblStylePr>
  </w:style>
  <w:style w:type="table" w:customStyle="1" w:styleId="CE-Table3">
    <w:name w:val="CE-Table 3"/>
    <w:basedOn w:val="Obinatablica"/>
    <w:uiPriority w:val="99"/>
    <w:rsid w:val="003C5F24"/>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2E6E9"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14:ligatures w14:val="standard"/>
      <w14:cntxtAlts/>
    </w:rPr>
  </w:style>
  <w:style w:type="paragraph" w:customStyle="1" w:styleId="CE-Headline1">
    <w:name w:val="CE-Headline 1"/>
    <w:basedOn w:val="Naslov2"/>
    <w:link w:val="CE-Headline1Zchn"/>
    <w:qFormat/>
    <w:rsid w:val="00E77506"/>
    <w:pPr>
      <w:numPr>
        <w:numId w:val="22"/>
      </w:numPr>
      <w:spacing w:before="0"/>
      <w:ind w:left="0" w:right="0"/>
      <w:jc w:val="left"/>
    </w:pPr>
    <w:rPr>
      <w:rFonts w:ascii="Trebuchet MS" w:hAnsi="Trebuchet MS"/>
      <w:noProof/>
      <w:color w:val="708792" w:themeColor="background2"/>
      <w:spacing w:val="-10"/>
      <w:sz w:val="36"/>
      <w:szCs w:val="32"/>
      <w:lang w:eastAsia="de-AT"/>
    </w:rPr>
  </w:style>
  <w:style w:type="paragraph" w:customStyle="1" w:styleId="Headline2">
    <w:name w:val="Headline 2"/>
    <w:basedOn w:val="Naslov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Naslov2"/>
    <w:link w:val="Headline1partChar"/>
    <w:rsid w:val="000A739F"/>
    <w:pPr>
      <w:numPr>
        <w:numId w:val="11"/>
      </w:numPr>
      <w:ind w:left="1418" w:firstLine="0"/>
    </w:pPr>
    <w:rPr>
      <w:b w:val="0"/>
      <w:sz w:val="32"/>
      <w:szCs w:val="32"/>
    </w:rPr>
  </w:style>
  <w:style w:type="character" w:customStyle="1" w:styleId="Headline2Char">
    <w:name w:val="Headline 2 Char"/>
    <w:basedOn w:val="Naslov2Char"/>
    <w:link w:val="Headline2"/>
    <w:rsid w:val="000A739F"/>
    <w:rPr>
      <w:rFonts w:ascii="Arial Rounded MT Bold" w:eastAsia="Calibri" w:hAnsi="Arial Rounded MT Bold"/>
      <w:b w:val="0"/>
      <w:bCs/>
      <w:iCs/>
      <w:color w:val="90ABB1" w:themeColor="accent1"/>
      <w:sz w:val="28"/>
      <w:szCs w:val="28"/>
      <w:lang w:val="en-GB"/>
    </w:rPr>
  </w:style>
  <w:style w:type="character" w:customStyle="1" w:styleId="AttentionChar">
    <w:name w:val="Attention Char"/>
    <w:basedOn w:val="Headline2Char"/>
    <w:link w:val="Attention"/>
    <w:rsid w:val="001172B4"/>
    <w:rPr>
      <w:rFonts w:ascii="Trebuchet MS" w:eastAsia="Calibri" w:hAnsi="Trebuchet MS"/>
      <w:b w:val="0"/>
      <w:bCs/>
      <w:i/>
      <w:iCs/>
      <w:color w:val="90ABB1" w:themeColor="accent1"/>
      <w:sz w:val="18"/>
      <w:szCs w:val="18"/>
      <w:lang w:val="en-US"/>
    </w:rPr>
  </w:style>
  <w:style w:type="paragraph" w:customStyle="1" w:styleId="HeadlineA1">
    <w:name w:val="Headline A1."/>
    <w:basedOn w:val="Naslov2"/>
    <w:link w:val="HeadlineA1Char"/>
    <w:rsid w:val="000A739F"/>
    <w:rPr>
      <w:b w:val="0"/>
    </w:rPr>
  </w:style>
  <w:style w:type="character" w:customStyle="1" w:styleId="Headline1partChar">
    <w:name w:val="Headline 1 part Char"/>
    <w:basedOn w:val="Naslov2Char"/>
    <w:link w:val="Headline1part"/>
    <w:rsid w:val="000A739F"/>
    <w:rPr>
      <w:rFonts w:ascii="Arial Rounded MT Bold" w:hAnsi="Arial Rounded MT Bold"/>
      <w:b w:val="0"/>
      <w:bCs/>
      <w:iCs/>
      <w:color w:val="90ABB1" w:themeColor="accent1"/>
      <w:sz w:val="32"/>
      <w:szCs w:val="32"/>
      <w:lang w:val="en-GB"/>
    </w:rPr>
  </w:style>
  <w:style w:type="paragraph" w:customStyle="1" w:styleId="HeadlineA11">
    <w:name w:val="Headline A.1.1"/>
    <w:basedOn w:val="Naslov3"/>
    <w:rsid w:val="000A739F"/>
    <w:rPr>
      <w:b w:val="0"/>
    </w:rPr>
  </w:style>
  <w:style w:type="character" w:customStyle="1" w:styleId="HeadlineA1Char">
    <w:name w:val="Headline A1. Char"/>
    <w:basedOn w:val="Naslov2Char"/>
    <w:link w:val="HeadlineA1"/>
    <w:rsid w:val="000A739F"/>
    <w:rPr>
      <w:rFonts w:ascii="Arial Rounded MT Bold" w:hAnsi="Arial Rounded MT Bold"/>
      <w:b w:val="0"/>
      <w:bCs/>
      <w:iCs/>
      <w:color w:val="90ABB1" w:themeColor="accent1"/>
      <w:sz w:val="24"/>
      <w:lang w:val="en-GB"/>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2"/>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Obinatablica"/>
    <w:uiPriority w:val="48"/>
    <w:rsid w:val="00426766"/>
    <w:rPr>
      <w:rFonts w:ascii="Trebuchet MS" w:hAnsi="Trebuchet MS"/>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08792"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Trebuchet MS" w:hAnsi="Trebuchet MS"/>
        <w:b w:val="0"/>
        <w:bCs/>
        <w:color w:val="000000" w:themeColor="text1"/>
        <w:sz w:val="20"/>
      </w:rPr>
    </w:tblStylePr>
    <w:tblStylePr w:type="lastCol">
      <w:rPr>
        <w:b/>
        <w:bCs/>
      </w:rPr>
    </w:tblStylePr>
    <w:tblStylePr w:type="band1Vert">
      <w:tblPr/>
      <w:tcPr>
        <w:tcBorders>
          <w:left w:val="single" w:sz="4" w:space="0" w:color="90ABB1" w:themeColor="accent1"/>
          <w:right w:val="single" w:sz="4" w:space="0" w:color="90ABB1" w:themeColor="accent1"/>
        </w:tcBorders>
      </w:tcPr>
    </w:tblStylePr>
    <w:tblStylePr w:type="band1Horz">
      <w:tblPr/>
      <w:tcPr>
        <w:tcBorders>
          <w:top w:val="single" w:sz="4" w:space="0" w:color="90ABB1" w:themeColor="accent1"/>
          <w:bottom w:val="single" w:sz="4" w:space="0" w:color="90ABB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ABB1" w:themeColor="accent1"/>
          <w:left w:val="nil"/>
        </w:tcBorders>
      </w:tcPr>
    </w:tblStylePr>
    <w:tblStylePr w:type="swCell">
      <w:tblPr/>
      <w:tcPr>
        <w:tcBorders>
          <w:top w:val="double" w:sz="4" w:space="0" w:color="90ABB1" w:themeColor="accent1"/>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BezproredaChar">
    <w:name w:val="Bez proreda Char"/>
    <w:basedOn w:val="Zadanifontodlomka"/>
    <w:link w:val="Bezproreda"/>
    <w:uiPriority w:val="1"/>
    <w:rsid w:val="006D3BB8"/>
    <w:rPr>
      <w:rFonts w:ascii="Calibri" w:eastAsia="Calibri" w:hAnsi="Calibri"/>
      <w:sz w:val="22"/>
      <w:szCs w:val="22"/>
      <w:lang w:val="de-AT"/>
    </w:rPr>
  </w:style>
  <w:style w:type="paragraph" w:styleId="Tijeloteksta2">
    <w:name w:val="Body Text 2"/>
    <w:basedOn w:val="Normal"/>
    <w:link w:val="Tijeloteksta2Char"/>
    <w:uiPriority w:val="99"/>
    <w:unhideWhenUsed/>
    <w:rsid w:val="00995597"/>
    <w:pPr>
      <w:ind w:left="0" w:right="28"/>
      <w:jc w:val="left"/>
    </w:pPr>
    <w:rPr>
      <w:color w:val="FFFFFF" w:themeColor="background1"/>
    </w:rPr>
  </w:style>
  <w:style w:type="character" w:customStyle="1" w:styleId="Tijeloteksta2Char">
    <w:name w:val="Tijelo teksta 2 Char"/>
    <w:basedOn w:val="Zadanifontodlomka"/>
    <w:link w:val="Tijeloteksta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3"/>
      </w:numPr>
    </w:pPr>
  </w:style>
  <w:style w:type="paragraph" w:customStyle="1" w:styleId="EinfAbs">
    <w:name w:val="[Einf. Abs.]"/>
    <w:basedOn w:val="Normal"/>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line2">
    <w:name w:val="CE-Headline 2"/>
    <w:basedOn w:val="CE-Headline1"/>
    <w:link w:val="CE-Headline2Zchn"/>
    <w:qFormat/>
    <w:rsid w:val="00FE7A08"/>
    <w:pPr>
      <w:numPr>
        <w:ilvl w:val="1"/>
      </w:numPr>
      <w:tabs>
        <w:tab w:val="left" w:pos="454"/>
      </w:tabs>
      <w:spacing w:line="240" w:lineRule="auto"/>
    </w:pPr>
    <w:rPr>
      <w:color w:val="90ABB1" w:themeColor="accent1"/>
      <w:sz w:val="28"/>
      <w:szCs w:val="26"/>
    </w:rPr>
  </w:style>
  <w:style w:type="paragraph" w:customStyle="1" w:styleId="CE-Headline4">
    <w:name w:val="CE-Headline 4"/>
    <w:basedOn w:val="Headline2"/>
    <w:link w:val="CE-Headline4Zchn"/>
    <w:qFormat/>
    <w:rsid w:val="00CD5462"/>
    <w:pPr>
      <w:numPr>
        <w:ilvl w:val="3"/>
        <w:numId w:val="22"/>
      </w:numPr>
      <w:tabs>
        <w:tab w:val="left" w:pos="1418"/>
      </w:tabs>
      <w:spacing w:before="0"/>
      <w:ind w:right="340"/>
    </w:pPr>
    <w:rPr>
      <w:rFonts w:ascii="Trebuchet MS" w:hAnsi="Trebuchet MS"/>
      <w:b/>
      <w:color w:val="708792" w:themeColor="background2"/>
      <w:sz w:val="20"/>
      <w:szCs w:val="24"/>
    </w:rPr>
  </w:style>
  <w:style w:type="character" w:customStyle="1" w:styleId="CE-Headline1Zchn">
    <w:name w:val="CE-Headline 1 Zchn"/>
    <w:basedOn w:val="Naslov2Char"/>
    <w:link w:val="CE-Headline1"/>
    <w:rsid w:val="00E77506"/>
    <w:rPr>
      <w:rFonts w:ascii="Trebuchet MS" w:hAnsi="Trebuchet MS"/>
      <w:b/>
      <w:bCs/>
      <w:iCs/>
      <w:noProof/>
      <w:color w:val="708792" w:themeColor="background2"/>
      <w:spacing w:val="-10"/>
      <w:sz w:val="36"/>
      <w:szCs w:val="32"/>
      <w:lang w:val="en-GB" w:eastAsia="de-AT"/>
    </w:rPr>
  </w:style>
  <w:style w:type="character" w:customStyle="1" w:styleId="CE-Headline2Zchn">
    <w:name w:val="CE-Headline 2 Zchn"/>
    <w:basedOn w:val="CE-Headline1Zchn"/>
    <w:link w:val="CE-Headline2"/>
    <w:rsid w:val="00FE7A08"/>
    <w:rPr>
      <w:rFonts w:ascii="Trebuchet MS" w:hAnsi="Trebuchet MS"/>
      <w:b/>
      <w:bCs/>
      <w:iCs/>
      <w:noProof/>
      <w:color w:val="90ABB1" w:themeColor="accent1"/>
      <w:spacing w:val="-10"/>
      <w:sz w:val="28"/>
      <w:szCs w:val="26"/>
      <w:lang w:val="en-GB" w:eastAsia="de-AT"/>
    </w:rPr>
  </w:style>
  <w:style w:type="paragraph" w:customStyle="1" w:styleId="CE-StandardText">
    <w:name w:val="CE-StandardText"/>
    <w:basedOn w:val="Normal"/>
    <w:link w:val="CE-StandardTextZchn"/>
    <w:qFormat/>
    <w:rsid w:val="00CD5462"/>
    <w:pPr>
      <w:ind w:left="0" w:right="0"/>
    </w:pPr>
    <w:rPr>
      <w:rFonts w:ascii="Trebuchet MS" w:hAnsi="Trebuchet MS"/>
      <w:color w:val="000000" w:themeColor="text1"/>
      <w:szCs w:val="18"/>
    </w:rPr>
  </w:style>
  <w:style w:type="character" w:customStyle="1" w:styleId="CE-Headline4Zchn">
    <w:name w:val="CE-Headline 4 Zchn"/>
    <w:basedOn w:val="Headline2Char"/>
    <w:link w:val="CE-Headline4"/>
    <w:rsid w:val="00CD5462"/>
    <w:rPr>
      <w:rFonts w:ascii="Trebuchet MS" w:eastAsia="Calibri" w:hAnsi="Trebuchet MS"/>
      <w:b/>
      <w:bCs/>
      <w:iCs/>
      <w:color w:val="708792" w:themeColor="background2"/>
      <w:sz w:val="28"/>
      <w:szCs w:val="24"/>
      <w:lang w:val="en-GB"/>
    </w:rPr>
  </w:style>
  <w:style w:type="paragraph" w:customStyle="1" w:styleId="CE-List-Bullet">
    <w:name w:val="CE-List-Bullet"/>
    <w:basedOn w:val="CE-StandardText"/>
    <w:link w:val="CE-List-BulletZchn"/>
    <w:rsid w:val="00C33CB3"/>
    <w:pPr>
      <w:numPr>
        <w:numId w:val="14"/>
      </w:numPr>
      <w:ind w:left="360"/>
    </w:pPr>
  </w:style>
  <w:style w:type="character" w:customStyle="1" w:styleId="CE-StandardTextZchn">
    <w:name w:val="CE-StandardText Zchn"/>
    <w:basedOn w:val="Zadanifontodlomka"/>
    <w:link w:val="CE-StandardText"/>
    <w:rsid w:val="00CD5462"/>
    <w:rPr>
      <w:rFonts w:ascii="Trebuchet MS" w:hAnsi="Trebuchet MS"/>
      <w:color w:val="000000" w:themeColor="text1"/>
      <w:szCs w:val="18"/>
      <w:lang w:val="en-GB"/>
    </w:rPr>
  </w:style>
  <w:style w:type="paragraph" w:customStyle="1" w:styleId="CE-List-Numbers">
    <w:name w:val="CE-List-Numbers"/>
    <w:basedOn w:val="CE-StandardText"/>
    <w:link w:val="CE-List-NumbersZchn"/>
    <w:rsid w:val="0068495D"/>
    <w:pPr>
      <w:numPr>
        <w:numId w:val="15"/>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color w:val="000000" w:themeColor="text1"/>
      <w:szCs w:val="18"/>
      <w:lang w:val="en-GB"/>
    </w:rPr>
  </w:style>
  <w:style w:type="paragraph" w:customStyle="1" w:styleId="PubTitle">
    <w:name w:val="Pub.Title"/>
    <w:basedOn w:val="Normal"/>
    <w:link w:val="PubTitleZchn"/>
    <w:rsid w:val="001A4AC1"/>
    <w:pPr>
      <w:spacing w:before="0" w:line="760" w:lineRule="exact"/>
      <w:ind w:left="0" w:right="0"/>
      <w:jc w:val="left"/>
    </w:pPr>
    <w:rPr>
      <w:rFonts w:ascii="Trebuchet MS" w:hAnsi="Trebuchet MS"/>
      <w:b/>
      <w:spacing w:val="-20"/>
      <w:kern w:val="72"/>
      <w:sz w:val="72"/>
      <w:szCs w:val="72"/>
      <w:lang w:val="en-US"/>
      <w14:ligatures w14:val="standard"/>
    </w:rPr>
  </w:style>
  <w:style w:type="character" w:customStyle="1" w:styleId="CE-List-NumbersZchn">
    <w:name w:val="CE-List-Numbers Zchn"/>
    <w:basedOn w:val="CE-StandardTextZchn"/>
    <w:link w:val="CE-List-Numbers"/>
    <w:rsid w:val="0068495D"/>
    <w:rPr>
      <w:rFonts w:ascii="Trebuchet MS" w:hAnsi="Trebuchet MS"/>
      <w:color w:val="000000" w:themeColor="text1"/>
      <w:szCs w:val="18"/>
      <w:lang w:val="en-GB"/>
    </w:rPr>
  </w:style>
  <w:style w:type="paragraph" w:customStyle="1" w:styleId="CE-TableHead">
    <w:name w:val="CE-Table Head"/>
    <w:basedOn w:val="CE-Headline2"/>
    <w:link w:val="CE-TableHeadZchn"/>
    <w:qFormat/>
    <w:rsid w:val="00C33CB3"/>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Zadanifontodlomka"/>
    <w:link w:val="PubTitle"/>
    <w:rsid w:val="001A4AC1"/>
    <w:rPr>
      <w:rFonts w:ascii="Trebuchet MS" w:hAnsi="Trebuchet MS"/>
      <w:b/>
      <w:spacing w:val="-20"/>
      <w:kern w:val="72"/>
      <w:sz w:val="72"/>
      <w:szCs w:val="72"/>
      <w:lang w:val="en-US"/>
      <w14:ligatures w14:val="standard"/>
    </w:rPr>
  </w:style>
  <w:style w:type="paragraph" w:customStyle="1" w:styleId="TableText">
    <w:name w:val="Table Text"/>
    <w:basedOn w:val="Normal"/>
    <w:link w:val="TableTextZchn"/>
    <w:autoRedefine/>
    <w:qFormat/>
    <w:rsid w:val="00C33CB3"/>
    <w:pPr>
      <w:ind w:left="0"/>
      <w:jc w:val="left"/>
    </w:pPr>
    <w:rPr>
      <w:rFonts w:ascii="Trebuchet MS" w:hAnsi="Trebuchet MS"/>
      <w:color w:val="0A5188" w:themeColor="accent6" w:themeShade="BF"/>
      <w:spacing w:val="-2"/>
      <w:sz w:val="16"/>
      <w:szCs w:val="15"/>
    </w:rPr>
  </w:style>
  <w:style w:type="character" w:customStyle="1" w:styleId="CE-TableHeadZchn">
    <w:name w:val="CE-Table Head Zchn"/>
    <w:basedOn w:val="CE-Headline2Zchn"/>
    <w:link w:val="CE-TableHead"/>
    <w:rsid w:val="00C33CB3"/>
    <w:rPr>
      <w:rFonts w:ascii="Trebuchet MS" w:eastAsiaTheme="minorHAnsi" w:hAnsi="Trebuchet MS" w:cstheme="minorBidi"/>
      <w:b w:val="0"/>
      <w:bCs w:val="0"/>
      <w:iCs/>
      <w:noProof/>
      <w:color w:val="FFFFFF" w:themeColor="background1"/>
      <w:spacing w:val="-10"/>
      <w:sz w:val="28"/>
      <w:szCs w:val="24"/>
      <w:lang w:val="en-GB" w:eastAsia="de-AT"/>
    </w:rPr>
  </w:style>
  <w:style w:type="paragraph" w:customStyle="1" w:styleId="CE-TableList">
    <w:name w:val="CE-Table List"/>
    <w:basedOn w:val="CE-List-Bullet"/>
    <w:link w:val="CE-TableListZchn"/>
    <w:autoRedefine/>
    <w:rsid w:val="00C33CB3"/>
    <w:pPr>
      <w:ind w:left="357" w:right="340" w:hanging="357"/>
      <w:jc w:val="left"/>
    </w:pPr>
    <w:rPr>
      <w:color w:val="0A5188" w:themeColor="accent6" w:themeShade="BF"/>
      <w:spacing w:val="-2"/>
      <w:sz w:val="16"/>
      <w:szCs w:val="16"/>
    </w:rPr>
  </w:style>
  <w:style w:type="character" w:customStyle="1" w:styleId="TableTextZchn">
    <w:name w:val="Table Text Zchn"/>
    <w:basedOn w:val="Zadanifontodlomka"/>
    <w:link w:val="TableText"/>
    <w:rsid w:val="00C33CB3"/>
    <w:rPr>
      <w:rFonts w:ascii="Trebuchet MS" w:hAnsi="Trebuchet MS"/>
      <w:color w:val="0A5188"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0E6EB6" w:themeColor="accent6"/>
      <w:sz w:val="16"/>
      <w:szCs w:val="18"/>
    </w:rPr>
  </w:style>
  <w:style w:type="character" w:customStyle="1" w:styleId="CE-TableListZchn">
    <w:name w:val="CE-Table List Zchn"/>
    <w:basedOn w:val="CE-List-BulletZchn"/>
    <w:link w:val="CE-TableList"/>
    <w:rsid w:val="00C33CB3"/>
    <w:rPr>
      <w:rFonts w:ascii="Trebuchet MS" w:hAnsi="Trebuchet MS"/>
      <w:color w:val="0A5188" w:themeColor="accent6" w:themeShade="BF"/>
      <w:spacing w:val="-2"/>
      <w:sz w:val="16"/>
      <w:szCs w:val="16"/>
      <w:lang w:val="en-GB"/>
    </w:rPr>
  </w:style>
  <w:style w:type="paragraph" w:customStyle="1" w:styleId="CE-SidebarHead">
    <w:name w:val="CE-Sidebar Head"/>
    <w:basedOn w:val="CE-Sidebar"/>
    <w:link w:val="CE-SidebarHeadZchn"/>
    <w:rsid w:val="00B76958"/>
    <w:rPr>
      <w:b/>
      <w:caps/>
      <w:color w:val="7494A4"/>
      <w:sz w:val="22"/>
      <w:szCs w:val="22"/>
      <w:u w:color="E5E5E5" w:themeColor="text1" w:themeTint="1A"/>
    </w:rPr>
  </w:style>
  <w:style w:type="character" w:customStyle="1" w:styleId="msoaccenttext8Zchn">
    <w:name w:val="msoaccenttext8 Zchn"/>
    <w:basedOn w:val="Zadanifontodlomka"/>
    <w:link w:val="msoaccenttext8"/>
    <w:rsid w:val="004563B8"/>
    <w:rPr>
      <w:rFonts w:ascii="Arial Rounded MT Bold" w:hAnsi="Arial Rounded MT Bold"/>
      <w:color w:val="000000"/>
      <w:kern w:val="28"/>
      <w:lang w:val="de-DE"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14:ligatures w14:val="standard"/>
      <w14:cntxtAlts/>
    </w:rPr>
  </w:style>
  <w:style w:type="character" w:customStyle="1" w:styleId="CE-SidebarZchn">
    <w:name w:val="CE-Sidebar Zchn"/>
    <w:basedOn w:val="ChapterZchn"/>
    <w:link w:val="CE-Sidebar"/>
    <w:rsid w:val="004563B8"/>
    <w:rPr>
      <w:rFonts w:ascii="Trebuchet MS" w:hAnsi="Trebuchet MS"/>
      <w:color w:val="0E6EB6" w:themeColor="accent6"/>
      <w:kern w:val="28"/>
      <w:sz w:val="16"/>
      <w:szCs w:val="18"/>
      <w:lang w:val="en-US" w:eastAsia="de-DE"/>
      <w14:ligatures w14:val="standard"/>
      <w14:cntxtAlts/>
    </w:rPr>
  </w:style>
  <w:style w:type="character" w:styleId="Tekstrezerviranogmjesta">
    <w:name w:val="Placeholder Text"/>
    <w:basedOn w:val="Zadanifontodlomka"/>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5E5E5" w:themeColor="text1" w:themeTint="1A"/>
      <w:lang w:val="en-US" w:eastAsia="de-DE"/>
      <w14:ligatures w14:val="standard"/>
      <w14:cntxtAlts/>
    </w:rPr>
  </w:style>
  <w:style w:type="paragraph" w:customStyle="1" w:styleId="CE-HeadlineTitle">
    <w:name w:val="CE-Headline Title"/>
    <w:basedOn w:val="PubTitle"/>
    <w:link w:val="CE-HeadlineTitleZchn"/>
    <w:qFormat/>
    <w:rsid w:val="00CD5462"/>
    <w:pPr>
      <w:spacing w:after="240" w:line="700" w:lineRule="exact"/>
    </w:pPr>
    <w:rPr>
      <w:b w:val="0"/>
      <w:caps/>
      <w:color w:val="708792" w:themeColor="background2"/>
      <w:sz w:val="60"/>
      <w:szCs w:val="76"/>
      <w:lang w:val="en-GB"/>
    </w:rPr>
  </w:style>
  <w:style w:type="character" w:customStyle="1" w:styleId="CE-HeadlineTitleZchn">
    <w:name w:val="CE-Headline Title Zchn"/>
    <w:basedOn w:val="PubTitleZchn"/>
    <w:link w:val="CE-HeadlineTitle"/>
    <w:rsid w:val="00CD5462"/>
    <w:rPr>
      <w:rFonts w:ascii="Trebuchet MS" w:hAnsi="Trebuchet MS"/>
      <w:b w:val="0"/>
      <w:caps/>
      <w:color w:val="708792" w:themeColor="background2"/>
      <w:spacing w:val="-20"/>
      <w:kern w:val="72"/>
      <w:sz w:val="60"/>
      <w:szCs w:val="76"/>
      <w:lang w:val="en-GB"/>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6"/>
      </w:numPr>
    </w:pPr>
  </w:style>
  <w:style w:type="paragraph" w:customStyle="1" w:styleId="CE-BulletPoint1">
    <w:name w:val="CE-BulletPoint1"/>
    <w:basedOn w:val="CE-StandardText"/>
    <w:link w:val="CE-BulletPoint1Zchn"/>
    <w:rsid w:val="00CD5462"/>
    <w:pPr>
      <w:numPr>
        <w:numId w:val="24"/>
      </w:numPr>
      <w:ind w:left="284" w:hanging="284"/>
      <w:jc w:val="left"/>
    </w:pPr>
  </w:style>
  <w:style w:type="character" w:customStyle="1" w:styleId="CE-BulletPoint1Zchn">
    <w:name w:val="CE-BulletPoint1 Zchn"/>
    <w:basedOn w:val="CE-StandardTextZchn"/>
    <w:link w:val="CE-BulletPoint1"/>
    <w:rsid w:val="00CD5462"/>
    <w:rPr>
      <w:rFonts w:ascii="Trebuchet MS" w:hAnsi="Trebuchet MS"/>
      <w:color w:val="000000" w:themeColor="text1"/>
      <w:szCs w:val="18"/>
      <w:lang w:val="en-GB"/>
    </w:rPr>
  </w:style>
  <w:style w:type="paragraph" w:customStyle="1" w:styleId="CE-BulletPoint2">
    <w:name w:val="CE-BulletPoint2"/>
    <w:basedOn w:val="CE-BulletPoint1"/>
    <w:link w:val="CE-BulletPoint2Zchn"/>
    <w:rsid w:val="00706D40"/>
    <w:pPr>
      <w:numPr>
        <w:numId w:val="25"/>
      </w:numPr>
    </w:pPr>
  </w:style>
  <w:style w:type="paragraph" w:customStyle="1" w:styleId="CE-BulletPoint3">
    <w:name w:val="CE-BulletPoint3"/>
    <w:basedOn w:val="CE-BulletPoint1"/>
    <w:link w:val="CE-BulletPoint3Zchn"/>
    <w:rsid w:val="00DE42C2"/>
    <w:pPr>
      <w:numPr>
        <w:ilvl w:val="2"/>
      </w:numPr>
    </w:pPr>
  </w:style>
  <w:style w:type="character" w:customStyle="1" w:styleId="CE-BulletPoint2Zchn">
    <w:name w:val="CE-BulletPoint2 Zchn"/>
    <w:basedOn w:val="CE-BulletPoint1Zchn"/>
    <w:link w:val="CE-BulletPoint2"/>
    <w:rsid w:val="00706D40"/>
    <w:rPr>
      <w:rFonts w:ascii="Trebuchet MS" w:hAnsi="Trebuchet MS"/>
      <w:color w:val="000000" w:themeColor="text1"/>
      <w:szCs w:val="18"/>
      <w:lang w:val="en-GB"/>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themeColor="background1"/>
    </w:rPr>
  </w:style>
  <w:style w:type="character" w:customStyle="1" w:styleId="CE-BulletPoint3Zchn">
    <w:name w:val="CE-BulletPoint3 Zchn"/>
    <w:basedOn w:val="CE-BulletPoint1Zchn"/>
    <w:link w:val="CE-BulletPoint3"/>
    <w:rsid w:val="00DE42C2"/>
    <w:rPr>
      <w:rFonts w:ascii="Trebuchet MS" w:hAnsi="Trebuchet MS"/>
      <w:color w:val="000000" w:themeColor="text1"/>
      <w:szCs w:val="18"/>
      <w:lang w:val="en-GB"/>
    </w:rPr>
  </w:style>
  <w:style w:type="paragraph" w:customStyle="1" w:styleId="CE-TableStandard">
    <w:name w:val="CE-Table Standard"/>
    <w:basedOn w:val="CE-TableStandardWhite"/>
    <w:link w:val="CE-TableStandardZchn"/>
    <w:qFormat/>
    <w:rsid w:val="00CD5462"/>
    <w:pPr>
      <w:spacing w:line="288" w:lineRule="auto"/>
    </w:pPr>
    <w:rPr>
      <w:b w:val="0"/>
      <w:color w:val="000000" w:themeColor="text1"/>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en-GB"/>
    </w:rPr>
  </w:style>
  <w:style w:type="paragraph" w:styleId="Citat">
    <w:name w:val="Quote"/>
    <w:aliases w:val="CE-Quotation"/>
    <w:basedOn w:val="Normal"/>
    <w:next w:val="CE-StandardText"/>
    <w:link w:val="CitatChar"/>
    <w:uiPriority w:val="29"/>
    <w:qFormat/>
    <w:rsid w:val="00C33CB3"/>
    <w:pPr>
      <w:spacing w:before="0" w:after="200"/>
      <w:ind w:left="0" w:right="0"/>
      <w:jc w:val="left"/>
    </w:pPr>
    <w:rPr>
      <w:rFonts w:ascii="Trebuchet MS" w:eastAsiaTheme="minorEastAsia" w:hAnsi="Trebuchet MS" w:cstheme="minorBidi"/>
      <w:b/>
      <w:iCs/>
      <w:color w:val="C8D3D8" w:themeColor="accent2"/>
      <w:sz w:val="18"/>
      <w:szCs w:val="22"/>
      <w:lang w:eastAsia="de-AT"/>
    </w:rPr>
  </w:style>
  <w:style w:type="character" w:customStyle="1" w:styleId="CE-TableStandardZchn">
    <w:name w:val="CE-Table Standard Zchn"/>
    <w:basedOn w:val="CE-TableStandardWhiteZchn"/>
    <w:link w:val="CE-TableStandard"/>
    <w:rsid w:val="00CD5462"/>
    <w:rPr>
      <w:rFonts w:ascii="Trebuchet MS" w:hAnsi="Trebuchet MS"/>
      <w:b w:val="0"/>
      <w:bCs/>
      <w:color w:val="000000" w:themeColor="text1"/>
      <w:sz w:val="17"/>
      <w:szCs w:val="18"/>
      <w:lang w:val="en-GB"/>
    </w:rPr>
  </w:style>
  <w:style w:type="character" w:customStyle="1" w:styleId="CitatChar">
    <w:name w:val="Citat Char"/>
    <w:aliases w:val="CE-Quotation Char"/>
    <w:basedOn w:val="Zadanifontodlomka"/>
    <w:link w:val="Citat"/>
    <w:uiPriority w:val="29"/>
    <w:rsid w:val="00C33CB3"/>
    <w:rPr>
      <w:rFonts w:ascii="Trebuchet MS" w:eastAsiaTheme="minorEastAsia" w:hAnsi="Trebuchet MS" w:cstheme="minorBidi"/>
      <w:b/>
      <w:iCs/>
      <w:color w:val="C8D3D8" w:themeColor="accent2"/>
      <w:sz w:val="18"/>
      <w:szCs w:val="22"/>
      <w:lang w:val="en-GB"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0C0C0C" w:themeColor="text2"/>
      <w:sz w:val="18"/>
      <w:szCs w:val="18"/>
      <w:lang w:val="en-US"/>
    </w:rPr>
  </w:style>
  <w:style w:type="numbering" w:customStyle="1" w:styleId="CE-List">
    <w:name w:val="CE-List"/>
    <w:uiPriority w:val="99"/>
    <w:rsid w:val="00E3317E"/>
    <w:pPr>
      <w:numPr>
        <w:numId w:val="17"/>
      </w:numPr>
    </w:pPr>
  </w:style>
  <w:style w:type="numbering" w:customStyle="1" w:styleId="Formatvorlage1">
    <w:name w:val="Formatvorlage1"/>
    <w:uiPriority w:val="99"/>
    <w:rsid w:val="001161C3"/>
    <w:pPr>
      <w:numPr>
        <w:numId w:val="18"/>
      </w:numPr>
    </w:pPr>
  </w:style>
  <w:style w:type="table" w:customStyle="1" w:styleId="CE-TableExample">
    <w:name w:val="CE-Table Example"/>
    <w:basedOn w:val="Obinatablica"/>
    <w:uiPriority w:val="99"/>
    <w:rsid w:val="005158CB"/>
    <w:rPr>
      <w:rFonts w:ascii="Trebuchet MS" w:hAnsi="Trebuchet MS"/>
      <w:sz w:val="18"/>
    </w:rPr>
    <w:tblPr>
      <w:tblBorders>
        <w:top w:val="single" w:sz="24" w:space="0" w:color="708792" w:themeColor="background2"/>
        <w:bottom w:val="single" w:sz="24" w:space="0" w:color="708792"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08792" w:themeColor="background2"/>
        <w:sz w:val="60"/>
        <w:vertAlign w:val="baseline"/>
      </w:rPr>
    </w:tblStylePr>
  </w:style>
  <w:style w:type="table" w:styleId="Svijetlipopis">
    <w:name w:val="Light List"/>
    <w:basedOn w:val="Obinatablica"/>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CE-TableStandardBold0">
    <w:name w:val="CE-Table StandardBold"/>
    <w:basedOn w:val="CE-TableStandard"/>
    <w:link w:val="CE-TableStandardBoldZchn0"/>
    <w:qFormat/>
    <w:rsid w:val="00CD5462"/>
    <w:rPr>
      <w:b/>
      <w:bCs w:val="0"/>
    </w:rPr>
  </w:style>
  <w:style w:type="character" w:customStyle="1" w:styleId="CE-TableStandardBoldZchn0">
    <w:name w:val="CE-Table StandardBold Zchn"/>
    <w:basedOn w:val="CE-TableStandardZchn"/>
    <w:link w:val="CE-TableStandardBold0"/>
    <w:rsid w:val="00CD5462"/>
    <w:rPr>
      <w:rFonts w:ascii="Trebuchet MS" w:hAnsi="Trebuchet MS"/>
      <w:b/>
      <w:bCs w:val="0"/>
      <w:color w:val="000000" w:themeColor="text1"/>
      <w:sz w:val="17"/>
      <w:szCs w:val="18"/>
      <w:lang w:val="en-GB"/>
    </w:rPr>
  </w:style>
  <w:style w:type="table" w:customStyle="1" w:styleId="GridTable5Dark-Accent11">
    <w:name w:val="Grid Table 5 Dark - Accent 11"/>
    <w:basedOn w:val="Obinatablica"/>
    <w:uiPriority w:val="50"/>
    <w:rsid w:val="004267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EEF"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ABB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ABB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ABB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ABB1" w:themeFill="accent1"/>
      </w:tcPr>
    </w:tblStylePr>
    <w:tblStylePr w:type="band1Vert">
      <w:tblPr/>
      <w:tcPr>
        <w:shd w:val="clear" w:color="auto" w:fill="D2DDDF" w:themeFill="accent1" w:themeFillTint="66"/>
      </w:tcPr>
    </w:tblStylePr>
    <w:tblStylePr w:type="band1Horz">
      <w:tblPr/>
      <w:tcPr>
        <w:shd w:val="clear" w:color="auto" w:fill="D2DDDF" w:themeFill="accent1" w:themeFillTint="66"/>
      </w:tcPr>
    </w:tblStylePr>
  </w:style>
  <w:style w:type="numbering" w:customStyle="1" w:styleId="Formatvorlage2">
    <w:name w:val="Formatvorlage2"/>
    <w:uiPriority w:val="99"/>
    <w:rsid w:val="004B06F7"/>
    <w:pPr>
      <w:numPr>
        <w:numId w:val="19"/>
      </w:numPr>
    </w:pPr>
  </w:style>
  <w:style w:type="paragraph" w:customStyle="1" w:styleId="CE-Headline3">
    <w:name w:val="CE-Headline 3"/>
    <w:basedOn w:val="CE-Headline4"/>
    <w:link w:val="CE-Headline3Zchn"/>
    <w:qFormat/>
    <w:rsid w:val="00CD5462"/>
    <w:pPr>
      <w:numPr>
        <w:ilvl w:val="2"/>
      </w:numPr>
      <w:tabs>
        <w:tab w:val="left" w:pos="964"/>
      </w:tabs>
    </w:pPr>
    <w:rPr>
      <w:color w:val="90ABB1" w:themeColor="accent1"/>
      <w:sz w:val="24"/>
      <w:lang w:eastAsia="de-AT"/>
    </w:rPr>
  </w:style>
  <w:style w:type="paragraph" w:customStyle="1" w:styleId="CE-Quote">
    <w:name w:val="CE-Quote"/>
    <w:basedOn w:val="CE-StandardText"/>
    <w:link w:val="CE-QuoteZchn"/>
    <w:qFormat/>
    <w:rsid w:val="001F57EC"/>
    <w:pPr>
      <w:jc w:val="left"/>
    </w:pPr>
    <w:rPr>
      <w:i/>
      <w:lang w:eastAsia="de-AT"/>
    </w:rPr>
  </w:style>
  <w:style w:type="character" w:customStyle="1" w:styleId="CE-Headline3Zchn">
    <w:name w:val="CE-Headline 3 Zchn"/>
    <w:basedOn w:val="CE-Headline4Zchn"/>
    <w:link w:val="CE-Headline3"/>
    <w:rsid w:val="00CD5462"/>
    <w:rPr>
      <w:rFonts w:ascii="Trebuchet MS" w:eastAsia="Calibri" w:hAnsi="Trebuchet MS"/>
      <w:b/>
      <w:bCs/>
      <w:iCs/>
      <w:color w:val="90ABB1" w:themeColor="accent1"/>
      <w:sz w:val="24"/>
      <w:szCs w:val="24"/>
      <w:lang w:val="en-GB" w:eastAsia="de-AT"/>
    </w:rPr>
  </w:style>
  <w:style w:type="character" w:customStyle="1" w:styleId="CE-QuoteZchn">
    <w:name w:val="CE-Quote Zchn"/>
    <w:basedOn w:val="CE-StandardTextZchn"/>
    <w:link w:val="CE-Quote"/>
    <w:rsid w:val="001F57EC"/>
    <w:rPr>
      <w:rFonts w:ascii="Trebuchet MS" w:hAnsi="Trebuchet MS"/>
      <w:i/>
      <w:color w:val="0C0C0C" w:themeColor="text2"/>
      <w:szCs w:val="18"/>
      <w:lang w:val="en-GB" w:eastAsia="de-AT"/>
    </w:rPr>
  </w:style>
  <w:style w:type="numbering" w:customStyle="1" w:styleId="CE-ListStandardText">
    <w:name w:val="CE-List StandardText"/>
    <w:uiPriority w:val="99"/>
    <w:rsid w:val="005C49B1"/>
    <w:pPr>
      <w:numPr>
        <w:numId w:val="20"/>
      </w:numPr>
    </w:pPr>
  </w:style>
  <w:style w:type="numbering" w:customStyle="1" w:styleId="CE-HeadNumbering">
    <w:name w:val="CE-HeadNumbering"/>
    <w:uiPriority w:val="99"/>
    <w:rsid w:val="003F0BC1"/>
    <w:pPr>
      <w:numPr>
        <w:numId w:val="21"/>
      </w:numPr>
    </w:pPr>
  </w:style>
  <w:style w:type="paragraph" w:customStyle="1" w:styleId="CE-HeadlineChapter">
    <w:name w:val="CE-Headline Chapter"/>
    <w:basedOn w:val="CE-Headline1"/>
    <w:next w:val="CE-Headline1"/>
    <w:link w:val="CE-HeadlineChapterZchn"/>
    <w:qFormat/>
    <w:rsid w:val="00CD5462"/>
    <w:pPr>
      <w:numPr>
        <w:numId w:val="23"/>
      </w:numPr>
      <w:pBdr>
        <w:top w:val="single" w:sz="4" w:space="6" w:color="708792" w:themeColor="background2"/>
        <w:left w:val="single" w:sz="4" w:space="4" w:color="708792" w:themeColor="background2"/>
        <w:bottom w:val="single" w:sz="4" w:space="4" w:color="708792" w:themeColor="background2"/>
        <w:right w:val="single" w:sz="4" w:space="4" w:color="708792" w:themeColor="background2"/>
      </w:pBdr>
      <w:shd w:val="clear" w:color="auto" w:fill="708792" w:themeFill="background2"/>
      <w:spacing w:before="240"/>
      <w:ind w:left="357" w:hanging="357"/>
    </w:pPr>
    <w:rPr>
      <w:color w:val="FFFFFF" w:themeColor="background1"/>
    </w:rPr>
  </w:style>
  <w:style w:type="character" w:customStyle="1" w:styleId="CE-HeadlineChapterZchn">
    <w:name w:val="CE-Headline Chapter Zchn"/>
    <w:basedOn w:val="CE-Headline1Zchn"/>
    <w:link w:val="CE-HeadlineChapter"/>
    <w:rsid w:val="00CD5462"/>
    <w:rPr>
      <w:rFonts w:ascii="Trebuchet MS" w:hAnsi="Trebuchet MS"/>
      <w:b/>
      <w:bCs/>
      <w:iCs/>
      <w:noProof/>
      <w:color w:val="FFFFFF" w:themeColor="background1"/>
      <w:spacing w:val="-10"/>
      <w:sz w:val="36"/>
      <w:szCs w:val="32"/>
      <w:shd w:val="clear" w:color="auto" w:fill="708792" w:themeFill="background2"/>
      <w:lang w:val="en-GB"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pPr>
    <w:rPr>
      <w:sz w:val="32"/>
    </w:rPr>
  </w:style>
  <w:style w:type="character" w:customStyle="1" w:styleId="CE-HeadlineSubtitleZchn">
    <w:name w:val="CE-Headline Subtitle Zchn"/>
    <w:basedOn w:val="CE-Headline1Zchn"/>
    <w:link w:val="CE-HeadlineSubtitle"/>
    <w:rsid w:val="009805EB"/>
    <w:rPr>
      <w:rFonts w:ascii="Trebuchet MS" w:hAnsi="Trebuchet MS"/>
      <w:b/>
      <w:bCs/>
      <w:iCs/>
      <w:noProof/>
      <w:color w:val="708792" w:themeColor="background2"/>
      <w:spacing w:val="-10"/>
      <w:sz w:val="32"/>
      <w:szCs w:val="32"/>
      <w:lang w:val="en-GB" w:eastAsia="de-AT"/>
    </w:rPr>
  </w:style>
  <w:style w:type="paragraph" w:styleId="Tekstkrajnjebiljeke">
    <w:name w:val="endnote text"/>
    <w:basedOn w:val="Normal"/>
    <w:link w:val="TekstkrajnjebiljekeChar"/>
    <w:uiPriority w:val="99"/>
    <w:semiHidden/>
    <w:unhideWhenUsed/>
    <w:rsid w:val="008E682E"/>
    <w:pPr>
      <w:spacing w:before="0" w:line="240" w:lineRule="auto"/>
    </w:pPr>
  </w:style>
  <w:style w:type="character" w:customStyle="1" w:styleId="TekstkrajnjebiljekeChar">
    <w:name w:val="Tekst krajnje bilješke Char"/>
    <w:basedOn w:val="Zadanifontodlomka"/>
    <w:link w:val="Tekstkrajnjebiljeke"/>
    <w:uiPriority w:val="99"/>
    <w:semiHidden/>
    <w:rsid w:val="008E682E"/>
  </w:style>
  <w:style w:type="character" w:styleId="Referencakrajnjebiljeke">
    <w:name w:val="endnote reference"/>
    <w:basedOn w:val="Zadanifontodlomka"/>
    <w:uiPriority w:val="99"/>
    <w:semiHidden/>
    <w:unhideWhenUsed/>
    <w:rsid w:val="008E682E"/>
    <w:rPr>
      <w:vertAlign w:val="superscript"/>
    </w:rPr>
  </w:style>
  <w:style w:type="paragraph" w:customStyle="1" w:styleId="Lists">
    <w:name w:val="Lists"/>
    <w:basedOn w:val="CE-BulletPoint1"/>
    <w:link w:val="ListsZchn"/>
    <w:qFormat/>
    <w:rsid w:val="00A4515E"/>
  </w:style>
  <w:style w:type="character" w:customStyle="1" w:styleId="ListsZchn">
    <w:name w:val="Lists Zchn"/>
    <w:basedOn w:val="CE-BulletPoint1Zchn"/>
    <w:link w:val="Lists"/>
    <w:rsid w:val="00A4515E"/>
    <w:rPr>
      <w:rFonts w:ascii="Trebuchet MS" w:hAnsi="Trebuchet MS"/>
      <w:color w:val="000000" w:themeColor="text1"/>
      <w:szCs w:val="18"/>
      <w:lang w:val="en-GB"/>
    </w:rPr>
  </w:style>
  <w:style w:type="table" w:customStyle="1" w:styleId="PlainTable51">
    <w:name w:val="Plain Table 51"/>
    <w:basedOn w:val="Obinatablica"/>
    <w:uiPriority w:val="45"/>
    <w:rsid w:val="0033080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Naglaeno">
    <w:name w:val="Strong"/>
    <w:basedOn w:val="Zadanifontodlomka"/>
    <w:uiPriority w:val="22"/>
    <w:qFormat/>
    <w:rsid w:val="00DD412E"/>
    <w:rPr>
      <w:b/>
      <w:bCs/>
    </w:rPr>
  </w:style>
  <w:style w:type="paragraph" w:styleId="Opisslike">
    <w:name w:val="caption"/>
    <w:basedOn w:val="Normal"/>
    <w:next w:val="Normal"/>
    <w:unhideWhenUsed/>
    <w:rsid w:val="0034529E"/>
    <w:pPr>
      <w:spacing w:before="0" w:after="200" w:line="240" w:lineRule="auto"/>
    </w:pPr>
    <w:rPr>
      <w:i/>
      <w:iCs/>
      <w:color w:val="0C0C0C" w:themeColor="text2"/>
      <w:sz w:val="18"/>
      <w:szCs w:val="18"/>
    </w:rPr>
  </w:style>
  <w:style w:type="paragraph" w:customStyle="1" w:styleId="pf0">
    <w:name w:val="pf0"/>
    <w:basedOn w:val="Normal"/>
    <w:rsid w:val="00E873BC"/>
    <w:pPr>
      <w:spacing w:before="100" w:beforeAutospacing="1" w:after="100" w:afterAutospacing="1" w:line="240" w:lineRule="auto"/>
      <w:ind w:left="0" w:right="0"/>
      <w:jc w:val="left"/>
    </w:pPr>
    <w:rPr>
      <w:sz w:val="24"/>
      <w:szCs w:val="24"/>
      <w:lang w:val="de-AT" w:eastAsia="de-AT"/>
    </w:rPr>
  </w:style>
  <w:style w:type="character" w:customStyle="1" w:styleId="cf01">
    <w:name w:val="cf01"/>
    <w:basedOn w:val="Zadanifontodlomka"/>
    <w:rsid w:val="00E873BC"/>
    <w:rPr>
      <w:rFonts w:ascii="Segoe UI" w:hAnsi="Segoe UI" w:cs="Segoe UI" w:hint="default"/>
      <w:b/>
      <w:bCs/>
      <w:sz w:val="18"/>
      <w:szCs w:val="18"/>
    </w:rPr>
  </w:style>
  <w:style w:type="character" w:customStyle="1" w:styleId="cf11">
    <w:name w:val="cf11"/>
    <w:basedOn w:val="Zadanifontodlomka"/>
    <w:rsid w:val="00E873BC"/>
    <w:rPr>
      <w:rFonts w:ascii="Segoe UI" w:hAnsi="Segoe UI" w:cs="Segoe UI" w:hint="default"/>
      <w:sz w:val="18"/>
      <w:szCs w:val="18"/>
    </w:rPr>
  </w:style>
  <w:style w:type="paragraph" w:styleId="HTMLunaprijedoblikovano">
    <w:name w:val="HTML Preformatted"/>
    <w:basedOn w:val="Normal"/>
    <w:link w:val="HTMLunaprijedoblikovanoChar"/>
    <w:uiPriority w:val="99"/>
    <w:semiHidden/>
    <w:unhideWhenUsed/>
    <w:rsid w:val="0000220A"/>
    <w:pPr>
      <w:spacing w:before="0" w:line="240" w:lineRule="auto"/>
    </w:pPr>
    <w:rPr>
      <w:rFonts w:ascii="Consolas" w:hAnsi="Consolas"/>
    </w:rPr>
  </w:style>
  <w:style w:type="character" w:customStyle="1" w:styleId="HTMLunaprijedoblikovanoChar">
    <w:name w:val="HTML unaprijed oblikovano Char"/>
    <w:basedOn w:val="Zadanifontodlomka"/>
    <w:link w:val="HTMLunaprijedoblikovano"/>
    <w:uiPriority w:val="99"/>
    <w:semiHidden/>
    <w:rsid w:val="0000220A"/>
    <w:rPr>
      <w:rFonts w:ascii="Consolas" w:hAnsi="Consolas"/>
      <w:lang w:val="en-GB"/>
    </w:rPr>
  </w:style>
  <w:style w:type="table" w:styleId="Svijetlareetkatablice">
    <w:name w:val="Grid Table Light"/>
    <w:basedOn w:val="Obinatablica"/>
    <w:uiPriority w:val="40"/>
    <w:rsid w:val="00BC6CC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vijetlatablicareetke1">
    <w:name w:val="Grid Table 1 Light"/>
    <w:basedOn w:val="Obinatablica"/>
    <w:uiPriority w:val="46"/>
    <w:rsid w:val="004D313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icapopisa3-isticanje4">
    <w:name w:val="List Table 3 Accent 4"/>
    <w:basedOn w:val="Obinatablica"/>
    <w:uiPriority w:val="48"/>
    <w:rsid w:val="00EC5CFD"/>
    <w:tblPr>
      <w:tblStyleRowBandSize w:val="1"/>
      <w:tblStyleColBandSize w:val="1"/>
      <w:tblBorders>
        <w:top w:val="single" w:sz="4" w:space="0" w:color="9ACA3C" w:themeColor="accent4"/>
        <w:left w:val="single" w:sz="4" w:space="0" w:color="9ACA3C" w:themeColor="accent4"/>
        <w:bottom w:val="single" w:sz="4" w:space="0" w:color="9ACA3C" w:themeColor="accent4"/>
        <w:right w:val="single" w:sz="4" w:space="0" w:color="9ACA3C" w:themeColor="accent4"/>
      </w:tblBorders>
    </w:tblPr>
    <w:tblStylePr w:type="firstRow">
      <w:rPr>
        <w:b/>
        <w:bCs/>
        <w:color w:val="FFFFFF" w:themeColor="background1"/>
      </w:rPr>
      <w:tblPr/>
      <w:tcPr>
        <w:shd w:val="clear" w:color="auto" w:fill="9ACA3C" w:themeFill="accent4"/>
      </w:tcPr>
    </w:tblStylePr>
    <w:tblStylePr w:type="lastRow">
      <w:rPr>
        <w:b/>
        <w:bCs/>
      </w:rPr>
      <w:tblPr/>
      <w:tcPr>
        <w:tcBorders>
          <w:top w:val="double" w:sz="4" w:space="0" w:color="9ACA3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CA3C" w:themeColor="accent4"/>
          <w:right w:val="single" w:sz="4" w:space="0" w:color="9ACA3C" w:themeColor="accent4"/>
        </w:tcBorders>
      </w:tcPr>
    </w:tblStylePr>
    <w:tblStylePr w:type="band1Horz">
      <w:tblPr/>
      <w:tcPr>
        <w:tcBorders>
          <w:top w:val="single" w:sz="4" w:space="0" w:color="9ACA3C" w:themeColor="accent4"/>
          <w:bottom w:val="single" w:sz="4" w:space="0" w:color="9ACA3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CA3C" w:themeColor="accent4"/>
          <w:left w:val="nil"/>
        </w:tcBorders>
      </w:tcPr>
    </w:tblStylePr>
    <w:tblStylePr w:type="swCell">
      <w:tblPr/>
      <w:tcPr>
        <w:tcBorders>
          <w:top w:val="double" w:sz="4" w:space="0" w:color="9ACA3C" w:themeColor="accent4"/>
          <w:right w:val="nil"/>
        </w:tcBorders>
      </w:tcPr>
    </w:tblStylePr>
  </w:style>
  <w:style w:type="character" w:customStyle="1" w:styleId="UnresolvedMention">
    <w:name w:val="Unresolved Mention"/>
    <w:basedOn w:val="Zadanifontodlomka"/>
    <w:uiPriority w:val="99"/>
    <w:semiHidden/>
    <w:unhideWhenUsed/>
    <w:rsid w:val="00E5094D"/>
    <w:rPr>
      <w:color w:val="605E5C"/>
      <w:shd w:val="clear" w:color="auto" w:fill="E1DFDD"/>
    </w:rPr>
  </w:style>
  <w:style w:type="paragraph" w:styleId="Tablicaslika">
    <w:name w:val="table of figures"/>
    <w:basedOn w:val="Normal"/>
    <w:next w:val="Normal"/>
    <w:uiPriority w:val="99"/>
    <w:unhideWhenUsed/>
    <w:rsid w:val="00941C4C"/>
    <w:pPr>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117155">
      <w:bodyDiv w:val="1"/>
      <w:marLeft w:val="0"/>
      <w:marRight w:val="0"/>
      <w:marTop w:val="0"/>
      <w:marBottom w:val="0"/>
      <w:divBdr>
        <w:top w:val="none" w:sz="0" w:space="0" w:color="auto"/>
        <w:left w:val="none" w:sz="0" w:space="0" w:color="auto"/>
        <w:bottom w:val="none" w:sz="0" w:space="0" w:color="auto"/>
        <w:right w:val="none" w:sz="0" w:space="0" w:color="auto"/>
      </w:divBdr>
    </w:div>
    <w:div w:id="92897143">
      <w:bodyDiv w:val="1"/>
      <w:marLeft w:val="0"/>
      <w:marRight w:val="0"/>
      <w:marTop w:val="0"/>
      <w:marBottom w:val="0"/>
      <w:divBdr>
        <w:top w:val="none" w:sz="0" w:space="0" w:color="auto"/>
        <w:left w:val="none" w:sz="0" w:space="0" w:color="auto"/>
        <w:bottom w:val="none" w:sz="0" w:space="0" w:color="auto"/>
        <w:right w:val="none" w:sz="0" w:space="0" w:color="auto"/>
      </w:divBdr>
    </w:div>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176122125">
      <w:bodyDiv w:val="1"/>
      <w:marLeft w:val="0"/>
      <w:marRight w:val="0"/>
      <w:marTop w:val="0"/>
      <w:marBottom w:val="0"/>
      <w:divBdr>
        <w:top w:val="none" w:sz="0" w:space="0" w:color="auto"/>
        <w:left w:val="none" w:sz="0" w:space="0" w:color="auto"/>
        <w:bottom w:val="none" w:sz="0" w:space="0" w:color="auto"/>
        <w:right w:val="none" w:sz="0" w:space="0" w:color="auto"/>
      </w:divBdr>
    </w:div>
    <w:div w:id="188185094">
      <w:bodyDiv w:val="1"/>
      <w:marLeft w:val="0"/>
      <w:marRight w:val="0"/>
      <w:marTop w:val="0"/>
      <w:marBottom w:val="0"/>
      <w:divBdr>
        <w:top w:val="none" w:sz="0" w:space="0" w:color="auto"/>
        <w:left w:val="none" w:sz="0" w:space="0" w:color="auto"/>
        <w:bottom w:val="none" w:sz="0" w:space="0" w:color="auto"/>
        <w:right w:val="none" w:sz="0" w:space="0" w:color="auto"/>
      </w:divBdr>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24294024">
      <w:bodyDiv w:val="1"/>
      <w:marLeft w:val="0"/>
      <w:marRight w:val="0"/>
      <w:marTop w:val="0"/>
      <w:marBottom w:val="0"/>
      <w:divBdr>
        <w:top w:val="none" w:sz="0" w:space="0" w:color="auto"/>
        <w:left w:val="none" w:sz="0" w:space="0" w:color="auto"/>
        <w:bottom w:val="none" w:sz="0" w:space="0" w:color="auto"/>
        <w:right w:val="none" w:sz="0" w:space="0" w:color="auto"/>
      </w:divBdr>
    </w:div>
    <w:div w:id="239293808">
      <w:bodyDiv w:val="1"/>
      <w:marLeft w:val="0"/>
      <w:marRight w:val="0"/>
      <w:marTop w:val="0"/>
      <w:marBottom w:val="0"/>
      <w:divBdr>
        <w:top w:val="none" w:sz="0" w:space="0" w:color="auto"/>
        <w:left w:val="none" w:sz="0" w:space="0" w:color="auto"/>
        <w:bottom w:val="none" w:sz="0" w:space="0" w:color="auto"/>
        <w:right w:val="none" w:sz="0" w:space="0" w:color="auto"/>
      </w:divBdr>
    </w:div>
    <w:div w:id="259719774">
      <w:bodyDiv w:val="1"/>
      <w:marLeft w:val="0"/>
      <w:marRight w:val="0"/>
      <w:marTop w:val="0"/>
      <w:marBottom w:val="0"/>
      <w:divBdr>
        <w:top w:val="none" w:sz="0" w:space="0" w:color="auto"/>
        <w:left w:val="none" w:sz="0" w:space="0" w:color="auto"/>
        <w:bottom w:val="none" w:sz="0" w:space="0" w:color="auto"/>
        <w:right w:val="none" w:sz="0" w:space="0" w:color="auto"/>
      </w:divBdr>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285351302">
      <w:bodyDiv w:val="1"/>
      <w:marLeft w:val="0"/>
      <w:marRight w:val="0"/>
      <w:marTop w:val="0"/>
      <w:marBottom w:val="0"/>
      <w:divBdr>
        <w:top w:val="none" w:sz="0" w:space="0" w:color="auto"/>
        <w:left w:val="none" w:sz="0" w:space="0" w:color="auto"/>
        <w:bottom w:val="none" w:sz="0" w:space="0" w:color="auto"/>
        <w:right w:val="none" w:sz="0" w:space="0" w:color="auto"/>
      </w:divBdr>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24211414">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395707382">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64546497">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467866731">
      <w:bodyDiv w:val="1"/>
      <w:marLeft w:val="0"/>
      <w:marRight w:val="0"/>
      <w:marTop w:val="0"/>
      <w:marBottom w:val="0"/>
      <w:divBdr>
        <w:top w:val="none" w:sz="0" w:space="0" w:color="auto"/>
        <w:left w:val="none" w:sz="0" w:space="0" w:color="auto"/>
        <w:bottom w:val="none" w:sz="0" w:space="0" w:color="auto"/>
        <w:right w:val="none" w:sz="0" w:space="0" w:color="auto"/>
      </w:divBdr>
    </w:div>
    <w:div w:id="478890389">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584457731">
      <w:bodyDiv w:val="1"/>
      <w:marLeft w:val="0"/>
      <w:marRight w:val="0"/>
      <w:marTop w:val="0"/>
      <w:marBottom w:val="0"/>
      <w:divBdr>
        <w:top w:val="none" w:sz="0" w:space="0" w:color="auto"/>
        <w:left w:val="none" w:sz="0" w:space="0" w:color="auto"/>
        <w:bottom w:val="none" w:sz="0" w:space="0" w:color="auto"/>
        <w:right w:val="none" w:sz="0" w:space="0" w:color="auto"/>
      </w:divBdr>
    </w:div>
    <w:div w:id="596838286">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55494353">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802963883">
      <w:bodyDiv w:val="1"/>
      <w:marLeft w:val="0"/>
      <w:marRight w:val="0"/>
      <w:marTop w:val="0"/>
      <w:marBottom w:val="0"/>
      <w:divBdr>
        <w:top w:val="none" w:sz="0" w:space="0" w:color="auto"/>
        <w:left w:val="none" w:sz="0" w:space="0" w:color="auto"/>
        <w:bottom w:val="none" w:sz="0" w:space="0" w:color="auto"/>
        <w:right w:val="none" w:sz="0" w:space="0" w:color="auto"/>
      </w:divBdr>
    </w:div>
    <w:div w:id="813133941">
      <w:bodyDiv w:val="1"/>
      <w:marLeft w:val="0"/>
      <w:marRight w:val="0"/>
      <w:marTop w:val="0"/>
      <w:marBottom w:val="0"/>
      <w:divBdr>
        <w:top w:val="none" w:sz="0" w:space="0" w:color="auto"/>
        <w:left w:val="none" w:sz="0" w:space="0" w:color="auto"/>
        <w:bottom w:val="none" w:sz="0" w:space="0" w:color="auto"/>
        <w:right w:val="none" w:sz="0" w:space="0" w:color="auto"/>
      </w:divBdr>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831527258">
      <w:bodyDiv w:val="1"/>
      <w:marLeft w:val="0"/>
      <w:marRight w:val="0"/>
      <w:marTop w:val="0"/>
      <w:marBottom w:val="0"/>
      <w:divBdr>
        <w:top w:val="none" w:sz="0" w:space="0" w:color="auto"/>
        <w:left w:val="none" w:sz="0" w:space="0" w:color="auto"/>
        <w:bottom w:val="none" w:sz="0" w:space="0" w:color="auto"/>
        <w:right w:val="none" w:sz="0" w:space="0" w:color="auto"/>
      </w:divBdr>
    </w:div>
    <w:div w:id="846480536">
      <w:bodyDiv w:val="1"/>
      <w:marLeft w:val="0"/>
      <w:marRight w:val="0"/>
      <w:marTop w:val="0"/>
      <w:marBottom w:val="0"/>
      <w:divBdr>
        <w:top w:val="none" w:sz="0" w:space="0" w:color="auto"/>
        <w:left w:val="none" w:sz="0" w:space="0" w:color="auto"/>
        <w:bottom w:val="none" w:sz="0" w:space="0" w:color="auto"/>
        <w:right w:val="none" w:sz="0" w:space="0" w:color="auto"/>
      </w:divBdr>
    </w:div>
    <w:div w:id="898786380">
      <w:bodyDiv w:val="1"/>
      <w:marLeft w:val="0"/>
      <w:marRight w:val="0"/>
      <w:marTop w:val="0"/>
      <w:marBottom w:val="0"/>
      <w:divBdr>
        <w:top w:val="none" w:sz="0" w:space="0" w:color="auto"/>
        <w:left w:val="none" w:sz="0" w:space="0" w:color="auto"/>
        <w:bottom w:val="none" w:sz="0" w:space="0" w:color="auto"/>
        <w:right w:val="none" w:sz="0" w:space="0" w:color="auto"/>
      </w:divBdr>
      <w:divsChild>
        <w:div w:id="1242716075">
          <w:marLeft w:val="0"/>
          <w:marRight w:val="0"/>
          <w:marTop w:val="0"/>
          <w:marBottom w:val="300"/>
          <w:divBdr>
            <w:top w:val="none" w:sz="0" w:space="0" w:color="auto"/>
            <w:left w:val="none" w:sz="0" w:space="0" w:color="auto"/>
            <w:bottom w:val="none" w:sz="0" w:space="0" w:color="auto"/>
            <w:right w:val="none" w:sz="0" w:space="0" w:color="auto"/>
          </w:divBdr>
          <w:divsChild>
            <w:div w:id="1051151991">
              <w:marLeft w:val="0"/>
              <w:marRight w:val="0"/>
              <w:marTop w:val="0"/>
              <w:marBottom w:val="0"/>
              <w:divBdr>
                <w:top w:val="none" w:sz="0" w:space="0" w:color="auto"/>
                <w:left w:val="none" w:sz="0" w:space="0" w:color="auto"/>
                <w:bottom w:val="none" w:sz="0" w:space="0" w:color="auto"/>
                <w:right w:val="none" w:sz="0" w:space="0" w:color="auto"/>
              </w:divBdr>
            </w:div>
          </w:divsChild>
        </w:div>
        <w:div w:id="1425883325">
          <w:marLeft w:val="0"/>
          <w:marRight w:val="0"/>
          <w:marTop w:val="150"/>
          <w:marBottom w:val="300"/>
          <w:divBdr>
            <w:top w:val="none" w:sz="0" w:space="0" w:color="auto"/>
            <w:left w:val="none" w:sz="0" w:space="0" w:color="auto"/>
            <w:bottom w:val="none" w:sz="0" w:space="0" w:color="auto"/>
            <w:right w:val="none" w:sz="0" w:space="0" w:color="auto"/>
          </w:divBdr>
        </w:div>
      </w:divsChild>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39428797">
      <w:bodyDiv w:val="1"/>
      <w:marLeft w:val="0"/>
      <w:marRight w:val="0"/>
      <w:marTop w:val="0"/>
      <w:marBottom w:val="0"/>
      <w:divBdr>
        <w:top w:val="none" w:sz="0" w:space="0" w:color="auto"/>
        <w:left w:val="none" w:sz="0" w:space="0" w:color="auto"/>
        <w:bottom w:val="none" w:sz="0" w:space="0" w:color="auto"/>
        <w:right w:val="none" w:sz="0" w:space="0" w:color="auto"/>
      </w:divBdr>
    </w:div>
    <w:div w:id="1043748447">
      <w:bodyDiv w:val="1"/>
      <w:marLeft w:val="0"/>
      <w:marRight w:val="0"/>
      <w:marTop w:val="0"/>
      <w:marBottom w:val="0"/>
      <w:divBdr>
        <w:top w:val="none" w:sz="0" w:space="0" w:color="auto"/>
        <w:left w:val="none" w:sz="0" w:space="0" w:color="auto"/>
        <w:bottom w:val="none" w:sz="0" w:space="0" w:color="auto"/>
        <w:right w:val="none" w:sz="0" w:space="0" w:color="auto"/>
      </w:divBdr>
    </w:div>
    <w:div w:id="1062673944">
      <w:bodyDiv w:val="1"/>
      <w:marLeft w:val="0"/>
      <w:marRight w:val="0"/>
      <w:marTop w:val="0"/>
      <w:marBottom w:val="0"/>
      <w:divBdr>
        <w:top w:val="none" w:sz="0" w:space="0" w:color="auto"/>
        <w:left w:val="none" w:sz="0" w:space="0" w:color="auto"/>
        <w:bottom w:val="none" w:sz="0" w:space="0" w:color="auto"/>
        <w:right w:val="none" w:sz="0" w:space="0" w:color="auto"/>
      </w:divBdr>
    </w:div>
    <w:div w:id="1064717363">
      <w:bodyDiv w:val="1"/>
      <w:marLeft w:val="0"/>
      <w:marRight w:val="0"/>
      <w:marTop w:val="0"/>
      <w:marBottom w:val="0"/>
      <w:divBdr>
        <w:top w:val="none" w:sz="0" w:space="0" w:color="auto"/>
        <w:left w:val="none" w:sz="0" w:space="0" w:color="auto"/>
        <w:bottom w:val="none" w:sz="0" w:space="0" w:color="auto"/>
        <w:right w:val="none" w:sz="0" w:space="0" w:color="auto"/>
      </w:divBdr>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72436186">
      <w:bodyDiv w:val="1"/>
      <w:marLeft w:val="0"/>
      <w:marRight w:val="0"/>
      <w:marTop w:val="0"/>
      <w:marBottom w:val="0"/>
      <w:divBdr>
        <w:top w:val="none" w:sz="0" w:space="0" w:color="auto"/>
        <w:left w:val="none" w:sz="0" w:space="0" w:color="auto"/>
        <w:bottom w:val="none" w:sz="0" w:space="0" w:color="auto"/>
        <w:right w:val="none" w:sz="0" w:space="0" w:color="auto"/>
      </w:divBdr>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21655086">
      <w:bodyDiv w:val="1"/>
      <w:marLeft w:val="0"/>
      <w:marRight w:val="0"/>
      <w:marTop w:val="0"/>
      <w:marBottom w:val="0"/>
      <w:divBdr>
        <w:top w:val="none" w:sz="0" w:space="0" w:color="auto"/>
        <w:left w:val="none" w:sz="0" w:space="0" w:color="auto"/>
        <w:bottom w:val="none" w:sz="0" w:space="0" w:color="auto"/>
        <w:right w:val="none" w:sz="0" w:space="0" w:color="auto"/>
      </w:divBdr>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267690485">
      <w:bodyDiv w:val="1"/>
      <w:marLeft w:val="0"/>
      <w:marRight w:val="0"/>
      <w:marTop w:val="0"/>
      <w:marBottom w:val="0"/>
      <w:divBdr>
        <w:top w:val="none" w:sz="0" w:space="0" w:color="auto"/>
        <w:left w:val="none" w:sz="0" w:space="0" w:color="auto"/>
        <w:bottom w:val="none" w:sz="0" w:space="0" w:color="auto"/>
        <w:right w:val="none" w:sz="0" w:space="0" w:color="auto"/>
      </w:divBdr>
      <w:divsChild>
        <w:div w:id="993678454">
          <w:marLeft w:val="0"/>
          <w:marRight w:val="0"/>
          <w:marTop w:val="0"/>
          <w:marBottom w:val="0"/>
          <w:divBdr>
            <w:top w:val="none" w:sz="0" w:space="0" w:color="auto"/>
            <w:left w:val="none" w:sz="0" w:space="0" w:color="auto"/>
            <w:bottom w:val="none" w:sz="0" w:space="0" w:color="auto"/>
            <w:right w:val="none" w:sz="0" w:space="0" w:color="auto"/>
          </w:divBdr>
          <w:divsChild>
            <w:div w:id="697393103">
              <w:marLeft w:val="0"/>
              <w:marRight w:val="0"/>
              <w:marTop w:val="0"/>
              <w:marBottom w:val="0"/>
              <w:divBdr>
                <w:top w:val="none" w:sz="0" w:space="0" w:color="auto"/>
                <w:left w:val="none" w:sz="0" w:space="0" w:color="auto"/>
                <w:bottom w:val="none" w:sz="0" w:space="0" w:color="auto"/>
                <w:right w:val="none" w:sz="0" w:space="0" w:color="auto"/>
              </w:divBdr>
              <w:divsChild>
                <w:div w:id="1130633322">
                  <w:marLeft w:val="0"/>
                  <w:marRight w:val="0"/>
                  <w:marTop w:val="0"/>
                  <w:marBottom w:val="0"/>
                  <w:divBdr>
                    <w:top w:val="none" w:sz="0" w:space="0" w:color="auto"/>
                    <w:left w:val="none" w:sz="0" w:space="0" w:color="auto"/>
                    <w:bottom w:val="none" w:sz="0" w:space="0" w:color="auto"/>
                    <w:right w:val="none" w:sz="0" w:space="0" w:color="auto"/>
                  </w:divBdr>
                  <w:divsChild>
                    <w:div w:id="399060793">
                      <w:marLeft w:val="0"/>
                      <w:marRight w:val="0"/>
                      <w:marTop w:val="0"/>
                      <w:marBottom w:val="0"/>
                      <w:divBdr>
                        <w:top w:val="none" w:sz="0" w:space="0" w:color="auto"/>
                        <w:left w:val="none" w:sz="0" w:space="0" w:color="auto"/>
                        <w:bottom w:val="none" w:sz="0" w:space="0" w:color="auto"/>
                        <w:right w:val="none" w:sz="0" w:space="0" w:color="auto"/>
                      </w:divBdr>
                      <w:divsChild>
                        <w:div w:id="870725466">
                          <w:marLeft w:val="0"/>
                          <w:marRight w:val="0"/>
                          <w:marTop w:val="0"/>
                          <w:marBottom w:val="0"/>
                          <w:divBdr>
                            <w:top w:val="none" w:sz="0" w:space="0" w:color="auto"/>
                            <w:left w:val="none" w:sz="0" w:space="0" w:color="auto"/>
                            <w:bottom w:val="none" w:sz="0" w:space="0" w:color="auto"/>
                            <w:right w:val="none" w:sz="0" w:space="0" w:color="auto"/>
                          </w:divBdr>
                          <w:divsChild>
                            <w:div w:id="1396052724">
                              <w:marLeft w:val="0"/>
                              <w:marRight w:val="0"/>
                              <w:marTop w:val="0"/>
                              <w:marBottom w:val="0"/>
                              <w:divBdr>
                                <w:top w:val="none" w:sz="0" w:space="0" w:color="auto"/>
                                <w:left w:val="none" w:sz="0" w:space="0" w:color="auto"/>
                                <w:bottom w:val="none" w:sz="0" w:space="0" w:color="auto"/>
                                <w:right w:val="none" w:sz="0" w:space="0" w:color="auto"/>
                              </w:divBdr>
                              <w:divsChild>
                                <w:div w:id="655228947">
                                  <w:marLeft w:val="0"/>
                                  <w:marRight w:val="0"/>
                                  <w:marTop w:val="0"/>
                                  <w:marBottom w:val="0"/>
                                  <w:divBdr>
                                    <w:top w:val="none" w:sz="0" w:space="0" w:color="auto"/>
                                    <w:left w:val="none" w:sz="0" w:space="0" w:color="auto"/>
                                    <w:bottom w:val="none" w:sz="0" w:space="0" w:color="auto"/>
                                    <w:right w:val="none" w:sz="0" w:space="0" w:color="auto"/>
                                  </w:divBdr>
                                  <w:divsChild>
                                    <w:div w:id="23548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8805492">
      <w:bodyDiv w:val="1"/>
      <w:marLeft w:val="0"/>
      <w:marRight w:val="0"/>
      <w:marTop w:val="0"/>
      <w:marBottom w:val="0"/>
      <w:divBdr>
        <w:top w:val="none" w:sz="0" w:space="0" w:color="auto"/>
        <w:left w:val="none" w:sz="0" w:space="0" w:color="auto"/>
        <w:bottom w:val="none" w:sz="0" w:space="0" w:color="auto"/>
        <w:right w:val="none" w:sz="0" w:space="0" w:color="auto"/>
      </w:divBdr>
    </w:div>
    <w:div w:id="1303073122">
      <w:bodyDiv w:val="1"/>
      <w:marLeft w:val="0"/>
      <w:marRight w:val="0"/>
      <w:marTop w:val="0"/>
      <w:marBottom w:val="0"/>
      <w:divBdr>
        <w:top w:val="none" w:sz="0" w:space="0" w:color="auto"/>
        <w:left w:val="none" w:sz="0" w:space="0" w:color="auto"/>
        <w:bottom w:val="none" w:sz="0" w:space="0" w:color="auto"/>
        <w:right w:val="none" w:sz="0" w:space="0" w:color="auto"/>
      </w:divBdr>
      <w:divsChild>
        <w:div w:id="1990672894">
          <w:marLeft w:val="0"/>
          <w:marRight w:val="0"/>
          <w:marTop w:val="0"/>
          <w:marBottom w:val="0"/>
          <w:divBdr>
            <w:top w:val="none" w:sz="0" w:space="0" w:color="auto"/>
            <w:left w:val="none" w:sz="0" w:space="0" w:color="auto"/>
            <w:bottom w:val="none" w:sz="0" w:space="0" w:color="auto"/>
            <w:right w:val="none" w:sz="0" w:space="0" w:color="auto"/>
          </w:divBdr>
          <w:divsChild>
            <w:div w:id="1814248785">
              <w:marLeft w:val="0"/>
              <w:marRight w:val="0"/>
              <w:marTop w:val="0"/>
              <w:marBottom w:val="0"/>
              <w:divBdr>
                <w:top w:val="none" w:sz="0" w:space="0" w:color="auto"/>
                <w:left w:val="none" w:sz="0" w:space="0" w:color="auto"/>
                <w:bottom w:val="none" w:sz="0" w:space="0" w:color="auto"/>
                <w:right w:val="none" w:sz="0" w:space="0" w:color="auto"/>
              </w:divBdr>
              <w:divsChild>
                <w:div w:id="609974220">
                  <w:marLeft w:val="0"/>
                  <w:marRight w:val="0"/>
                  <w:marTop w:val="0"/>
                  <w:marBottom w:val="0"/>
                  <w:divBdr>
                    <w:top w:val="none" w:sz="0" w:space="0" w:color="auto"/>
                    <w:left w:val="none" w:sz="0" w:space="0" w:color="auto"/>
                    <w:bottom w:val="none" w:sz="0" w:space="0" w:color="auto"/>
                    <w:right w:val="none" w:sz="0" w:space="0" w:color="auto"/>
                  </w:divBdr>
                  <w:divsChild>
                    <w:div w:id="1127240517">
                      <w:marLeft w:val="0"/>
                      <w:marRight w:val="0"/>
                      <w:marTop w:val="0"/>
                      <w:marBottom w:val="0"/>
                      <w:divBdr>
                        <w:top w:val="none" w:sz="0" w:space="0" w:color="auto"/>
                        <w:left w:val="none" w:sz="0" w:space="0" w:color="auto"/>
                        <w:bottom w:val="none" w:sz="0" w:space="0" w:color="auto"/>
                        <w:right w:val="none" w:sz="0" w:space="0" w:color="auto"/>
                      </w:divBdr>
                      <w:divsChild>
                        <w:div w:id="707799437">
                          <w:marLeft w:val="0"/>
                          <w:marRight w:val="0"/>
                          <w:marTop w:val="0"/>
                          <w:marBottom w:val="0"/>
                          <w:divBdr>
                            <w:top w:val="none" w:sz="0" w:space="0" w:color="auto"/>
                            <w:left w:val="none" w:sz="0" w:space="0" w:color="auto"/>
                            <w:bottom w:val="none" w:sz="0" w:space="0" w:color="auto"/>
                            <w:right w:val="none" w:sz="0" w:space="0" w:color="auto"/>
                          </w:divBdr>
                          <w:divsChild>
                            <w:div w:id="339620028">
                              <w:marLeft w:val="0"/>
                              <w:marRight w:val="0"/>
                              <w:marTop w:val="0"/>
                              <w:marBottom w:val="0"/>
                              <w:divBdr>
                                <w:top w:val="none" w:sz="0" w:space="0" w:color="auto"/>
                                <w:left w:val="none" w:sz="0" w:space="0" w:color="auto"/>
                                <w:bottom w:val="none" w:sz="0" w:space="0" w:color="auto"/>
                                <w:right w:val="none" w:sz="0" w:space="0" w:color="auto"/>
                              </w:divBdr>
                              <w:divsChild>
                                <w:div w:id="467164177">
                                  <w:marLeft w:val="0"/>
                                  <w:marRight w:val="0"/>
                                  <w:marTop w:val="0"/>
                                  <w:marBottom w:val="0"/>
                                  <w:divBdr>
                                    <w:top w:val="none" w:sz="0" w:space="0" w:color="auto"/>
                                    <w:left w:val="none" w:sz="0" w:space="0" w:color="auto"/>
                                    <w:bottom w:val="none" w:sz="0" w:space="0" w:color="auto"/>
                                    <w:right w:val="none" w:sz="0" w:space="0" w:color="auto"/>
                                  </w:divBdr>
                                  <w:divsChild>
                                    <w:div w:id="51126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54832">
                          <w:marLeft w:val="0"/>
                          <w:marRight w:val="0"/>
                          <w:marTop w:val="0"/>
                          <w:marBottom w:val="0"/>
                          <w:divBdr>
                            <w:top w:val="none" w:sz="0" w:space="0" w:color="auto"/>
                            <w:left w:val="none" w:sz="0" w:space="0" w:color="auto"/>
                            <w:bottom w:val="none" w:sz="0" w:space="0" w:color="auto"/>
                            <w:right w:val="none" w:sz="0" w:space="0" w:color="auto"/>
                          </w:divBdr>
                          <w:divsChild>
                            <w:div w:id="948010721">
                              <w:marLeft w:val="0"/>
                              <w:marRight w:val="0"/>
                              <w:marTop w:val="0"/>
                              <w:marBottom w:val="0"/>
                              <w:divBdr>
                                <w:top w:val="none" w:sz="0" w:space="0" w:color="auto"/>
                                <w:left w:val="none" w:sz="0" w:space="0" w:color="auto"/>
                                <w:bottom w:val="none" w:sz="0" w:space="0" w:color="auto"/>
                                <w:right w:val="none" w:sz="0" w:space="0" w:color="auto"/>
                              </w:divBdr>
                              <w:divsChild>
                                <w:div w:id="328560426">
                                  <w:marLeft w:val="0"/>
                                  <w:marRight w:val="0"/>
                                  <w:marTop w:val="0"/>
                                  <w:marBottom w:val="0"/>
                                  <w:divBdr>
                                    <w:top w:val="none" w:sz="0" w:space="0" w:color="auto"/>
                                    <w:left w:val="none" w:sz="0" w:space="0" w:color="auto"/>
                                    <w:bottom w:val="none" w:sz="0" w:space="0" w:color="auto"/>
                                    <w:right w:val="none" w:sz="0" w:space="0" w:color="auto"/>
                                  </w:divBdr>
                                  <w:divsChild>
                                    <w:div w:id="1550335825">
                                      <w:marLeft w:val="0"/>
                                      <w:marRight w:val="0"/>
                                      <w:marTop w:val="0"/>
                                      <w:marBottom w:val="0"/>
                                      <w:divBdr>
                                        <w:top w:val="none" w:sz="0" w:space="0" w:color="auto"/>
                                        <w:left w:val="none" w:sz="0" w:space="0" w:color="auto"/>
                                        <w:bottom w:val="none" w:sz="0" w:space="0" w:color="auto"/>
                                        <w:right w:val="none" w:sz="0" w:space="0" w:color="auto"/>
                                      </w:divBdr>
                                      <w:divsChild>
                                        <w:div w:id="6537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0503303">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42068869">
      <w:bodyDiv w:val="1"/>
      <w:marLeft w:val="0"/>
      <w:marRight w:val="0"/>
      <w:marTop w:val="0"/>
      <w:marBottom w:val="0"/>
      <w:divBdr>
        <w:top w:val="none" w:sz="0" w:space="0" w:color="auto"/>
        <w:left w:val="none" w:sz="0" w:space="0" w:color="auto"/>
        <w:bottom w:val="none" w:sz="0" w:space="0" w:color="auto"/>
        <w:right w:val="none" w:sz="0" w:space="0" w:color="auto"/>
      </w:divBdr>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33375423">
      <w:bodyDiv w:val="1"/>
      <w:marLeft w:val="0"/>
      <w:marRight w:val="0"/>
      <w:marTop w:val="0"/>
      <w:marBottom w:val="0"/>
      <w:divBdr>
        <w:top w:val="none" w:sz="0" w:space="0" w:color="auto"/>
        <w:left w:val="none" w:sz="0" w:space="0" w:color="auto"/>
        <w:bottom w:val="none" w:sz="0" w:space="0" w:color="auto"/>
        <w:right w:val="none" w:sz="0" w:space="0" w:color="auto"/>
      </w:divBdr>
    </w:div>
    <w:div w:id="1560436671">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597133799">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43265902">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668557791">
      <w:bodyDiv w:val="1"/>
      <w:marLeft w:val="0"/>
      <w:marRight w:val="0"/>
      <w:marTop w:val="0"/>
      <w:marBottom w:val="0"/>
      <w:divBdr>
        <w:top w:val="none" w:sz="0" w:space="0" w:color="auto"/>
        <w:left w:val="none" w:sz="0" w:space="0" w:color="auto"/>
        <w:bottom w:val="none" w:sz="0" w:space="0" w:color="auto"/>
        <w:right w:val="none" w:sz="0" w:space="0" w:color="auto"/>
      </w:divBdr>
    </w:div>
    <w:div w:id="1685204371">
      <w:bodyDiv w:val="1"/>
      <w:marLeft w:val="0"/>
      <w:marRight w:val="0"/>
      <w:marTop w:val="0"/>
      <w:marBottom w:val="0"/>
      <w:divBdr>
        <w:top w:val="none" w:sz="0" w:space="0" w:color="auto"/>
        <w:left w:val="none" w:sz="0" w:space="0" w:color="auto"/>
        <w:bottom w:val="none" w:sz="0" w:space="0" w:color="auto"/>
        <w:right w:val="none" w:sz="0" w:space="0" w:color="auto"/>
      </w:divBdr>
    </w:div>
    <w:div w:id="1687558128">
      <w:bodyDiv w:val="1"/>
      <w:marLeft w:val="0"/>
      <w:marRight w:val="0"/>
      <w:marTop w:val="0"/>
      <w:marBottom w:val="0"/>
      <w:divBdr>
        <w:top w:val="none" w:sz="0" w:space="0" w:color="auto"/>
        <w:left w:val="none" w:sz="0" w:space="0" w:color="auto"/>
        <w:bottom w:val="none" w:sz="0" w:space="0" w:color="auto"/>
        <w:right w:val="none" w:sz="0" w:space="0" w:color="auto"/>
      </w:divBdr>
    </w:div>
    <w:div w:id="1703243970">
      <w:bodyDiv w:val="1"/>
      <w:marLeft w:val="0"/>
      <w:marRight w:val="0"/>
      <w:marTop w:val="0"/>
      <w:marBottom w:val="0"/>
      <w:divBdr>
        <w:top w:val="none" w:sz="0" w:space="0" w:color="auto"/>
        <w:left w:val="none" w:sz="0" w:space="0" w:color="auto"/>
        <w:bottom w:val="none" w:sz="0" w:space="0" w:color="auto"/>
        <w:right w:val="none" w:sz="0" w:space="0" w:color="auto"/>
      </w:divBdr>
    </w:div>
    <w:div w:id="1750148905">
      <w:bodyDiv w:val="1"/>
      <w:marLeft w:val="0"/>
      <w:marRight w:val="0"/>
      <w:marTop w:val="0"/>
      <w:marBottom w:val="0"/>
      <w:divBdr>
        <w:top w:val="none" w:sz="0" w:space="0" w:color="auto"/>
        <w:left w:val="none" w:sz="0" w:space="0" w:color="auto"/>
        <w:bottom w:val="none" w:sz="0" w:space="0" w:color="auto"/>
        <w:right w:val="none" w:sz="0" w:space="0" w:color="auto"/>
      </w:divBdr>
    </w:div>
    <w:div w:id="1765566051">
      <w:bodyDiv w:val="1"/>
      <w:marLeft w:val="0"/>
      <w:marRight w:val="0"/>
      <w:marTop w:val="0"/>
      <w:marBottom w:val="0"/>
      <w:divBdr>
        <w:top w:val="none" w:sz="0" w:space="0" w:color="auto"/>
        <w:left w:val="none" w:sz="0" w:space="0" w:color="auto"/>
        <w:bottom w:val="none" w:sz="0" w:space="0" w:color="auto"/>
        <w:right w:val="none" w:sz="0" w:space="0" w:color="auto"/>
      </w:divBdr>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23424298">
      <w:bodyDiv w:val="1"/>
      <w:marLeft w:val="0"/>
      <w:marRight w:val="0"/>
      <w:marTop w:val="0"/>
      <w:marBottom w:val="0"/>
      <w:divBdr>
        <w:top w:val="none" w:sz="0" w:space="0" w:color="auto"/>
        <w:left w:val="none" w:sz="0" w:space="0" w:color="auto"/>
        <w:bottom w:val="none" w:sz="0" w:space="0" w:color="auto"/>
        <w:right w:val="none" w:sz="0" w:space="0" w:color="auto"/>
      </w:divBdr>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1850295587">
      <w:bodyDiv w:val="1"/>
      <w:marLeft w:val="0"/>
      <w:marRight w:val="0"/>
      <w:marTop w:val="0"/>
      <w:marBottom w:val="0"/>
      <w:divBdr>
        <w:top w:val="none" w:sz="0" w:space="0" w:color="auto"/>
        <w:left w:val="none" w:sz="0" w:space="0" w:color="auto"/>
        <w:bottom w:val="none" w:sz="0" w:space="0" w:color="auto"/>
        <w:right w:val="none" w:sz="0" w:space="0" w:color="auto"/>
      </w:divBdr>
    </w:div>
    <w:div w:id="1868370558">
      <w:bodyDiv w:val="1"/>
      <w:marLeft w:val="0"/>
      <w:marRight w:val="0"/>
      <w:marTop w:val="0"/>
      <w:marBottom w:val="0"/>
      <w:divBdr>
        <w:top w:val="none" w:sz="0" w:space="0" w:color="auto"/>
        <w:left w:val="none" w:sz="0" w:space="0" w:color="auto"/>
        <w:bottom w:val="none" w:sz="0" w:space="0" w:color="auto"/>
        <w:right w:val="none" w:sz="0" w:space="0" w:color="auto"/>
      </w:divBdr>
    </w:div>
    <w:div w:id="1890917234">
      <w:bodyDiv w:val="1"/>
      <w:marLeft w:val="0"/>
      <w:marRight w:val="0"/>
      <w:marTop w:val="0"/>
      <w:marBottom w:val="0"/>
      <w:divBdr>
        <w:top w:val="none" w:sz="0" w:space="0" w:color="auto"/>
        <w:left w:val="none" w:sz="0" w:space="0" w:color="auto"/>
        <w:bottom w:val="none" w:sz="0" w:space="0" w:color="auto"/>
        <w:right w:val="none" w:sz="0" w:space="0" w:color="auto"/>
      </w:divBdr>
    </w:div>
    <w:div w:id="1891116053">
      <w:bodyDiv w:val="1"/>
      <w:marLeft w:val="0"/>
      <w:marRight w:val="0"/>
      <w:marTop w:val="0"/>
      <w:marBottom w:val="0"/>
      <w:divBdr>
        <w:top w:val="none" w:sz="0" w:space="0" w:color="auto"/>
        <w:left w:val="none" w:sz="0" w:space="0" w:color="auto"/>
        <w:bottom w:val="none" w:sz="0" w:space="0" w:color="auto"/>
        <w:right w:val="none" w:sz="0" w:space="0" w:color="auto"/>
      </w:divBdr>
    </w:div>
    <w:div w:id="1926961800">
      <w:bodyDiv w:val="1"/>
      <w:marLeft w:val="0"/>
      <w:marRight w:val="0"/>
      <w:marTop w:val="0"/>
      <w:marBottom w:val="0"/>
      <w:divBdr>
        <w:top w:val="none" w:sz="0" w:space="0" w:color="auto"/>
        <w:left w:val="none" w:sz="0" w:space="0" w:color="auto"/>
        <w:bottom w:val="none" w:sz="0" w:space="0" w:color="auto"/>
        <w:right w:val="none" w:sz="0" w:space="0" w:color="auto"/>
      </w:divBdr>
    </w:div>
    <w:div w:id="1927037654">
      <w:bodyDiv w:val="1"/>
      <w:marLeft w:val="0"/>
      <w:marRight w:val="0"/>
      <w:marTop w:val="0"/>
      <w:marBottom w:val="0"/>
      <w:divBdr>
        <w:top w:val="none" w:sz="0" w:space="0" w:color="auto"/>
        <w:left w:val="none" w:sz="0" w:space="0" w:color="auto"/>
        <w:bottom w:val="none" w:sz="0" w:space="0" w:color="auto"/>
        <w:right w:val="none" w:sz="0" w:space="0" w:color="auto"/>
      </w:divBdr>
    </w:div>
    <w:div w:id="1939361253">
      <w:bodyDiv w:val="1"/>
      <w:marLeft w:val="0"/>
      <w:marRight w:val="0"/>
      <w:marTop w:val="0"/>
      <w:marBottom w:val="0"/>
      <w:divBdr>
        <w:top w:val="none" w:sz="0" w:space="0" w:color="auto"/>
        <w:left w:val="none" w:sz="0" w:space="0" w:color="auto"/>
        <w:bottom w:val="none" w:sz="0" w:space="0" w:color="auto"/>
        <w:right w:val="none" w:sz="0" w:space="0" w:color="auto"/>
      </w:divBdr>
    </w:div>
    <w:div w:id="1985116121">
      <w:bodyDiv w:val="1"/>
      <w:marLeft w:val="0"/>
      <w:marRight w:val="0"/>
      <w:marTop w:val="0"/>
      <w:marBottom w:val="0"/>
      <w:divBdr>
        <w:top w:val="none" w:sz="0" w:space="0" w:color="auto"/>
        <w:left w:val="none" w:sz="0" w:space="0" w:color="auto"/>
        <w:bottom w:val="none" w:sz="0" w:space="0" w:color="auto"/>
        <w:right w:val="none" w:sz="0" w:space="0" w:color="auto"/>
      </w:divBdr>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 w:id="2114472426">
      <w:bodyDiv w:val="1"/>
      <w:marLeft w:val="0"/>
      <w:marRight w:val="0"/>
      <w:marTop w:val="0"/>
      <w:marBottom w:val="0"/>
      <w:divBdr>
        <w:top w:val="none" w:sz="0" w:space="0" w:color="auto"/>
        <w:left w:val="none" w:sz="0" w:space="0" w:color="auto"/>
        <w:bottom w:val="none" w:sz="0" w:space="0" w:color="auto"/>
        <w:right w:val="none" w:sz="0" w:space="0" w:color="auto"/>
      </w:divBdr>
    </w:div>
    <w:div w:id="2130277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ingo.gov.hr/UserDocsImages/klimatske_aktivnosti/odrzivi_razvoj/NUS/lts_nus_eng.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mmission.europa.eu/strategy-and-policy/priorities-2019-2024/european-green-deal_e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legal-content/EN/TXT/PDF/?uri=CELEX:52020DC030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CE-Interreg">
  <a:themeElements>
    <a:clrScheme name="CENTRAL EUROPE 21/27">
      <a:dk1>
        <a:srgbClr val="000000"/>
      </a:dk1>
      <a:lt1>
        <a:sysClr val="window" lastClr="FFFFFF"/>
      </a:lt1>
      <a:dk2>
        <a:srgbClr val="0C0C0C"/>
      </a:dk2>
      <a:lt2>
        <a:srgbClr val="708792"/>
      </a:lt2>
      <a:accent1>
        <a:srgbClr val="90ABB1"/>
      </a:accent1>
      <a:accent2>
        <a:srgbClr val="C8D3D8"/>
      </a:accent2>
      <a:accent3>
        <a:srgbClr val="18BAA8"/>
      </a:accent3>
      <a:accent4>
        <a:srgbClr val="9ACA3C"/>
      </a:accent4>
      <a:accent5>
        <a:srgbClr val="F68A42"/>
      </a:accent5>
      <a:accent6>
        <a:srgbClr val="0E6EB6"/>
      </a:accent6>
      <a:hlink>
        <a:srgbClr val="708792"/>
      </a:hlink>
      <a:folHlink>
        <a:srgbClr val="708792"/>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spDef>
      <a:spPr bwMode="auto">
        <a:solidFill>
          <a:schemeClr val="accent2"/>
        </a:solidFill>
      </a:spPr>
      <a:bodyPr rot="0" vert="horz" wrap="square" lIns="91440" tIns="45720" rIns="91440" bIns="45720" anchor="t" anchorCtr="0" upright="1">
        <a:noAutofit/>
      </a:bodyPr>
      <a:lstStyle/>
    </a:spDef>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63DC3-0684-40D7-8019-58384A1DE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20936</Words>
  <Characters>119338</Characters>
  <Application>Microsoft Office Word</Application>
  <DocSecurity>0</DocSecurity>
  <Lines>994</Lines>
  <Paragraphs>279</Paragraphs>
  <ScaleCrop>false</ScaleCrop>
  <HeadingPairs>
    <vt:vector size="8" baseType="variant">
      <vt:variant>
        <vt:lpstr>Naslov</vt:lpstr>
      </vt:variant>
      <vt:variant>
        <vt:i4>1</vt:i4>
      </vt:variant>
      <vt:variant>
        <vt:lpstr>Title</vt:lpstr>
      </vt:variant>
      <vt:variant>
        <vt:i4>1</vt:i4>
      </vt:variant>
      <vt:variant>
        <vt:lpstr>Titel</vt:lpstr>
      </vt:variant>
      <vt:variant>
        <vt:i4>1</vt:i4>
      </vt:variant>
      <vt:variant>
        <vt:lpstr>Název</vt:lpstr>
      </vt:variant>
      <vt:variant>
        <vt:i4>1</vt:i4>
      </vt:variant>
    </vt:vector>
  </HeadingPairs>
  <TitlesOfParts>
    <vt:vector size="4" baseType="lpstr">
      <vt:lpstr>Interreg CENTRAL EUROPE</vt:lpstr>
      <vt:lpstr>Interreg CENTRAL EUROPE</vt:lpstr>
      <vt:lpstr>Interreg CENTRAL EUROPE</vt:lpstr>
      <vt:lpstr>Interreg CENTRAL EUROPE</vt:lpstr>
    </vt:vector>
  </TitlesOfParts>
  <Company>Magistrat der Stadt Wien, MA 14 - ADV</Company>
  <LinksUpToDate>false</LinksUpToDate>
  <CharactersWithSpaces>139995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Interreg CENTRAL EUROPE</dc:title>
  <dc:subject>InterregCE, EU Funding</dc:subject>
  <dc:creator>Oliver Ottner</dc:creator>
  <cp:keywords>Interreg CE;EUFunding</cp:keywords>
  <cp:lastModifiedBy>Tomislav Čapo</cp:lastModifiedBy>
  <cp:revision>2</cp:revision>
  <cp:lastPrinted>2025-12-08T14:17:00Z</cp:lastPrinted>
  <dcterms:created xsi:type="dcterms:W3CDTF">2026-03-19T09:34:00Z</dcterms:created>
  <dcterms:modified xsi:type="dcterms:W3CDTF">2026-03-19T09:34:00Z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GrammarlyDocumentId">
    <vt:lpwstr>6b1207a1699f5471dec05cb44e41eecfd04ccedb4f8babb3379c0a06fd0c0763</vt:lpwstr>
  </property>
</Properties>
</file>